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28E79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4CD0837C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7651097B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1DE5A0EE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0D5B9E02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0EC97A83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626DA783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23C04813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2299C191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7FA3A825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447696CA" w14:textId="77777777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</w:p>
    <w:p w14:paraId="1483AD42" w14:textId="2F9311D7" w:rsidR="00DA5363" w:rsidRPr="00302367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  <w:r w:rsidRPr="00302367">
        <w:rPr>
          <w:sz w:val="32"/>
          <w:szCs w:val="40"/>
        </w:rPr>
        <w:t>Godišnje izvješće o prove</w:t>
      </w:r>
      <w:r>
        <w:rPr>
          <w:sz w:val="32"/>
          <w:szCs w:val="40"/>
        </w:rPr>
        <w:t>dbi provedbenog programa za 202</w:t>
      </w:r>
      <w:r w:rsidR="009A5A68">
        <w:rPr>
          <w:sz w:val="32"/>
          <w:szCs w:val="40"/>
        </w:rPr>
        <w:t>5</w:t>
      </w:r>
      <w:r w:rsidRPr="00302367">
        <w:rPr>
          <w:sz w:val="32"/>
          <w:szCs w:val="40"/>
        </w:rPr>
        <w:t>. godinu</w:t>
      </w:r>
    </w:p>
    <w:p w14:paraId="1A9A89B5" w14:textId="14CF29FB" w:rsidR="00DA5363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  <w:r>
        <w:rPr>
          <w:sz w:val="32"/>
          <w:szCs w:val="40"/>
        </w:rPr>
        <w:t>(0</w:t>
      </w:r>
      <w:r w:rsidRPr="00302367">
        <w:rPr>
          <w:sz w:val="32"/>
          <w:szCs w:val="40"/>
        </w:rPr>
        <w:t>1.</w:t>
      </w:r>
      <w:r>
        <w:rPr>
          <w:sz w:val="32"/>
          <w:szCs w:val="40"/>
        </w:rPr>
        <w:t>01.202</w:t>
      </w:r>
      <w:r w:rsidR="009A5A68">
        <w:rPr>
          <w:sz w:val="32"/>
          <w:szCs w:val="40"/>
        </w:rPr>
        <w:t>5</w:t>
      </w:r>
      <w:r>
        <w:rPr>
          <w:sz w:val="32"/>
          <w:szCs w:val="40"/>
        </w:rPr>
        <w:t>.-31.12.202</w:t>
      </w:r>
      <w:r w:rsidR="009A5A68">
        <w:rPr>
          <w:sz w:val="32"/>
          <w:szCs w:val="40"/>
        </w:rPr>
        <w:t>5</w:t>
      </w:r>
      <w:r w:rsidRPr="00302367">
        <w:rPr>
          <w:sz w:val="32"/>
          <w:szCs w:val="40"/>
        </w:rPr>
        <w:t>.</w:t>
      </w:r>
      <w:r>
        <w:rPr>
          <w:sz w:val="32"/>
          <w:szCs w:val="40"/>
        </w:rPr>
        <w:t>)</w:t>
      </w:r>
    </w:p>
    <w:p w14:paraId="35A1983B" w14:textId="77777777" w:rsidR="00DA5363" w:rsidRPr="00302367" w:rsidRDefault="00DA5363" w:rsidP="00DA5363">
      <w:pPr>
        <w:pStyle w:val="Tijeloteksta"/>
        <w:spacing w:before="5"/>
        <w:jc w:val="center"/>
        <w:rPr>
          <w:sz w:val="32"/>
          <w:szCs w:val="40"/>
        </w:rPr>
      </w:pPr>
      <w:r>
        <w:rPr>
          <w:sz w:val="32"/>
          <w:szCs w:val="40"/>
        </w:rPr>
        <w:t>Grad Mursko Središće</w:t>
      </w:r>
    </w:p>
    <w:p w14:paraId="1359E11C" w14:textId="77777777" w:rsidR="00DA5363" w:rsidRPr="00302367" w:rsidRDefault="00DA5363" w:rsidP="00DA5363">
      <w:pPr>
        <w:pStyle w:val="Tijeloteksta"/>
        <w:rPr>
          <w:sz w:val="24"/>
        </w:rPr>
      </w:pPr>
    </w:p>
    <w:p w14:paraId="7A1DA232" w14:textId="77777777" w:rsidR="00DA5363" w:rsidRDefault="00DA5363" w:rsidP="00DA5363">
      <w:pPr>
        <w:pStyle w:val="Tijeloteksta"/>
        <w:rPr>
          <w:sz w:val="20"/>
        </w:rPr>
      </w:pPr>
      <w:r>
        <w:rPr>
          <w:rFonts w:eastAsiaTheme="minorEastAsia"/>
          <w:noProof/>
          <w:color w:val="3B3838" w:themeColor="background2" w:themeShade="40"/>
          <w:spacing w:val="10"/>
          <w:kern w:val="28"/>
          <w:sz w:val="52"/>
          <w:szCs w:val="52"/>
          <w:lang w:eastAsia="hr-HR"/>
        </w:rPr>
        <w:drawing>
          <wp:anchor distT="0" distB="0" distL="114300" distR="114300" simplePos="0" relativeHeight="251659264" behindDoc="1" locked="0" layoutInCell="1" allowOverlap="1" wp14:anchorId="3BBE4BE2" wp14:editId="0E71E45D">
            <wp:simplePos x="0" y="0"/>
            <wp:positionH relativeFrom="column">
              <wp:posOffset>2018030</wp:posOffset>
            </wp:positionH>
            <wp:positionV relativeFrom="paragraph">
              <wp:posOffset>102870</wp:posOffset>
            </wp:positionV>
            <wp:extent cx="1763395" cy="2494280"/>
            <wp:effectExtent l="0" t="0" r="8255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rsko središće_gr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494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44CC0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A6153DE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2DB37A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EF1D602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EABDF3F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2A04988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A31B17C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F72BC09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7FA484E0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58A7CE2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CE5DF85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9BC96A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2EB89DD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114A1ED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F94D53F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7BC59BB0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6F2ABEA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6BA2F5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FB5DAD8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E994E95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A689A3A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9F14C5B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90B1C1E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A429BAA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85AB0C3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A3BE0CF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62C5957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3E6C26E9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61D9D59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92A3DF7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74981660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99F656D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302C683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C86671B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B2E56A5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BBEB7A2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E978476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5C18F1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D9A3DBF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713F6F32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999D4D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D860EF3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AF83C84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03695A7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91811B1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B6B8DF8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38320E54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735C7EEF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3E7E8F89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855463A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1A73CF2D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67DFBC59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0D499BB8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BE79F35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FD3AB63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5662EDD3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2C4A90F8" w14:textId="77777777" w:rsidR="00DA5363" w:rsidRDefault="00DA5363" w:rsidP="00DA5363">
      <w:pPr>
        <w:pStyle w:val="Tijeloteksta"/>
        <w:spacing w:before="10"/>
        <w:rPr>
          <w:sz w:val="12"/>
        </w:rPr>
      </w:pPr>
    </w:p>
    <w:p w14:paraId="43A8415A" w14:textId="531CA75C" w:rsidR="00DA5363" w:rsidRPr="00017AD3" w:rsidRDefault="00DA5363" w:rsidP="00DA5363">
      <w:pPr>
        <w:pStyle w:val="Tijeloteksta"/>
        <w:spacing w:before="10"/>
        <w:jc w:val="center"/>
        <w:rPr>
          <w:sz w:val="28"/>
        </w:rPr>
        <w:sectPr w:rsidR="00DA5363" w:rsidRPr="00017AD3" w:rsidSect="00DA5363">
          <w:pgSz w:w="11910" w:h="16830"/>
          <w:pgMar w:top="1420" w:right="1160" w:bottom="280" w:left="1260" w:header="720" w:footer="720" w:gutter="0"/>
          <w:cols w:space="720"/>
        </w:sectPr>
      </w:pPr>
      <w:r>
        <w:rPr>
          <w:sz w:val="28"/>
        </w:rPr>
        <w:t>Veljača 202</w:t>
      </w:r>
      <w:r w:rsidR="009A5A68">
        <w:rPr>
          <w:sz w:val="28"/>
        </w:rPr>
        <w:t>6</w:t>
      </w:r>
      <w:r w:rsidRPr="00017AD3">
        <w:rPr>
          <w:sz w:val="28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62192344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</w:rPr>
      </w:sdtEndPr>
      <w:sdtContent>
        <w:p w14:paraId="28DFE992" w14:textId="77777777" w:rsidR="00FB174B" w:rsidRPr="00FB174B" w:rsidRDefault="00FB174B">
          <w:pPr>
            <w:pStyle w:val="TOCNaslov"/>
            <w:rPr>
              <w:rFonts w:ascii="Times New Roman" w:hAnsi="Times New Roman" w:cs="Times New Roman"/>
              <w:color w:val="auto"/>
              <w:sz w:val="28"/>
            </w:rPr>
          </w:pPr>
          <w:r w:rsidRPr="00FB174B">
            <w:rPr>
              <w:rFonts w:ascii="Times New Roman" w:hAnsi="Times New Roman" w:cs="Times New Roman"/>
              <w:color w:val="auto"/>
              <w:sz w:val="28"/>
            </w:rPr>
            <w:t xml:space="preserve">SADRŽAJ </w:t>
          </w:r>
        </w:p>
        <w:p w14:paraId="311051A5" w14:textId="77777777" w:rsidR="00FB174B" w:rsidRPr="00FB174B" w:rsidRDefault="00FB174B" w:rsidP="00FB174B">
          <w:pPr>
            <w:rPr>
              <w:lang w:eastAsia="hr-HR"/>
            </w:rPr>
          </w:pPr>
        </w:p>
        <w:p w14:paraId="5A18E4FB" w14:textId="77777777" w:rsidR="008E595C" w:rsidRPr="008E595C" w:rsidRDefault="00FB174B" w:rsidP="008E595C">
          <w:pPr>
            <w:pStyle w:val="Sadraj1"/>
            <w:tabs>
              <w:tab w:val="left" w:pos="44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r w:rsidRPr="00FB174B">
            <w:rPr>
              <w:rFonts w:ascii="Times New Roman" w:hAnsi="Times New Roman" w:cs="Times New Roman"/>
            </w:rPr>
            <w:fldChar w:fldCharType="begin"/>
          </w:r>
          <w:r w:rsidRPr="00FB174B">
            <w:rPr>
              <w:rFonts w:ascii="Times New Roman" w:hAnsi="Times New Roman" w:cs="Times New Roman"/>
            </w:rPr>
            <w:instrText xml:space="preserve"> TOC \o "1-3" \h \z \u </w:instrText>
          </w:r>
          <w:r w:rsidRPr="00FB174B">
            <w:rPr>
              <w:rFonts w:ascii="Times New Roman" w:hAnsi="Times New Roman" w:cs="Times New Roman"/>
            </w:rPr>
            <w:fldChar w:fldCharType="separate"/>
          </w:r>
          <w:hyperlink w:anchor="_Toc189816065" w:history="1">
            <w:r w:rsidR="008E595C" w:rsidRPr="008E595C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8E595C"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="008E595C" w:rsidRPr="008E595C">
              <w:rPr>
                <w:rStyle w:val="Hiperveza"/>
                <w:rFonts w:ascii="Times New Roman" w:hAnsi="Times New Roman" w:cs="Times New Roman"/>
                <w:noProof/>
              </w:rPr>
              <w:t>PREGLED STANJA</w:t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_Toc189816065 \h </w:instrText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8E595C"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8155A50" w14:textId="77777777" w:rsidR="008E595C" w:rsidRPr="008E595C" w:rsidRDefault="008E595C" w:rsidP="008E595C">
          <w:pPr>
            <w:pStyle w:val="Sadraj1"/>
            <w:tabs>
              <w:tab w:val="left" w:pos="44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66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IZVJEŠĆE O NAPRETKU U PROVEDBI MJERA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_Toc189816066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365C78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67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a)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1.1: Konkurentno i inovativno gospodarstvo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_Toc189816067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864447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68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b)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1.2: Suvremeno i otporno biogospodarstvo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_Toc189816068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F64C14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69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c)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1.3: Održiv i otporan turizam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_Toc189816069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D197E0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0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d)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1.4: Kvalitetno i suvremeno obrazovanje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_Toc189816070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1BC2279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1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e)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2.5: Učinkovita i dostupna zdravstvena i socijalna skrb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_Toc189816071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9835B58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2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f)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2.6: Bogat i uključiv društveni život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_Toc189816072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F53FB36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3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g)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2.7: Unaprijeđen sustav upravljanja rizicima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_Toc189816073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3D921F5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4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h)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2.8: Dobro upravljanje u javnom sektoru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_Toc189816074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BF87797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5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i)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3.9: Održivo korištenje prirode i okoliša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_Toc189816075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610AF8C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6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j)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3.11: Razvijena komunalna infrastruktura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_Toc189816076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92B89F0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7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k)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3.12: Suvremena prometna infrastruktura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_Toc189816077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57B49A" w14:textId="77777777" w:rsidR="008E595C" w:rsidRPr="008E595C" w:rsidRDefault="008E595C" w:rsidP="008E595C">
          <w:pPr>
            <w:pStyle w:val="Sadraj2"/>
            <w:tabs>
              <w:tab w:val="left" w:pos="660"/>
              <w:tab w:val="right" w:leader="dot" w:pos="9480"/>
            </w:tabs>
            <w:spacing w:line="360" w:lineRule="auto"/>
            <w:rPr>
              <w:rFonts w:ascii="Times New Roman" w:eastAsiaTheme="minorEastAsia" w:hAnsi="Times New Roman" w:cs="Times New Roman"/>
              <w:noProof/>
              <w:lang w:eastAsia="hr-HR"/>
            </w:rPr>
          </w:pPr>
          <w:hyperlink w:anchor="_Toc189816078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l)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PC 3.13: Visoka kvaliteta urbanog i ruralnog prostora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_Toc189816078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B82786" w14:textId="77777777" w:rsidR="008E595C" w:rsidRDefault="008E595C" w:rsidP="008E595C">
          <w:pPr>
            <w:pStyle w:val="Sadraj1"/>
            <w:tabs>
              <w:tab w:val="left" w:pos="440"/>
              <w:tab w:val="right" w:leader="dot" w:pos="9480"/>
            </w:tabs>
            <w:spacing w:line="360" w:lineRule="auto"/>
            <w:rPr>
              <w:rFonts w:eastAsiaTheme="minorEastAsia"/>
              <w:noProof/>
              <w:lang w:eastAsia="hr-HR"/>
            </w:rPr>
          </w:pPr>
          <w:hyperlink w:anchor="_Toc189816079" w:history="1"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Pr="008E595C">
              <w:rPr>
                <w:rFonts w:ascii="Times New Roman" w:eastAsiaTheme="minorEastAsia" w:hAnsi="Times New Roman" w:cs="Times New Roman"/>
                <w:noProof/>
                <w:lang w:eastAsia="hr-HR"/>
              </w:rPr>
              <w:tab/>
            </w:r>
            <w:r w:rsidRPr="008E595C">
              <w:rPr>
                <w:rStyle w:val="Hiperveza"/>
                <w:rFonts w:ascii="Times New Roman" w:hAnsi="Times New Roman" w:cs="Times New Roman"/>
                <w:noProof/>
              </w:rPr>
              <w:t>DOPRINOS OSTVARENJU CILJEVA JAVNIH POLITIKA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instrText xml:space="preserve"> PAGEREF _Toc189816079 \h </w:instrTex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D2D44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8E595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D126A1" w14:textId="77777777" w:rsidR="00FB174B" w:rsidRPr="00FB174B" w:rsidRDefault="00FB174B">
          <w:pPr>
            <w:rPr>
              <w:rFonts w:ascii="Times New Roman" w:hAnsi="Times New Roman" w:cs="Times New Roman"/>
            </w:rPr>
          </w:pPr>
          <w:r w:rsidRPr="00FB174B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14:paraId="5EC3DE5B" w14:textId="77777777" w:rsidR="00877B54" w:rsidRDefault="00877B54"/>
    <w:p w14:paraId="1B362A2B" w14:textId="77777777" w:rsidR="00516F36" w:rsidRDefault="00516F36"/>
    <w:p w14:paraId="07FC76B0" w14:textId="77777777" w:rsidR="00516F36" w:rsidRDefault="00516F36"/>
    <w:p w14:paraId="7B61E0DA" w14:textId="77777777" w:rsidR="00516F36" w:rsidRDefault="00516F36"/>
    <w:p w14:paraId="74FBFDC2" w14:textId="77777777" w:rsidR="00516F36" w:rsidRDefault="00516F36"/>
    <w:p w14:paraId="0242F158" w14:textId="77777777" w:rsidR="00516F36" w:rsidRDefault="00516F36"/>
    <w:p w14:paraId="5D3165CE" w14:textId="77777777" w:rsidR="00516F36" w:rsidRDefault="00516F36"/>
    <w:p w14:paraId="4B1B6974" w14:textId="77777777" w:rsidR="00516F36" w:rsidRDefault="00516F36"/>
    <w:p w14:paraId="75A95AE8" w14:textId="77777777" w:rsidR="00516F36" w:rsidRDefault="00516F36"/>
    <w:p w14:paraId="7D117954" w14:textId="77777777" w:rsidR="00516F36" w:rsidRDefault="00516F36"/>
    <w:p w14:paraId="22687FE2" w14:textId="77777777" w:rsidR="00516F36" w:rsidRDefault="00516F36"/>
    <w:p w14:paraId="1DFEB807" w14:textId="77777777" w:rsidR="00516F36" w:rsidRDefault="00516F36"/>
    <w:p w14:paraId="4FE69D7D" w14:textId="77777777" w:rsidR="00516F36" w:rsidRDefault="00516F36" w:rsidP="00516F36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</w:rPr>
      </w:pPr>
      <w:bookmarkStart w:id="0" w:name="_Toc189816065"/>
      <w:r w:rsidRPr="00516F36">
        <w:rPr>
          <w:rFonts w:ascii="Times New Roman" w:hAnsi="Times New Roman" w:cs="Times New Roman"/>
          <w:b/>
          <w:color w:val="auto"/>
          <w:sz w:val="28"/>
        </w:rPr>
        <w:lastRenderedPageBreak/>
        <w:t>PREGLED STANJA</w:t>
      </w:r>
      <w:bookmarkEnd w:id="0"/>
      <w:r w:rsidRPr="00516F36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14:paraId="5D34A00C" w14:textId="77777777" w:rsidR="00516F36" w:rsidRDefault="00516F36" w:rsidP="00516F36"/>
    <w:p w14:paraId="46ECCBD1" w14:textId="77777777" w:rsidR="00516F36" w:rsidRPr="00516F36" w:rsidRDefault="00516F36" w:rsidP="00316A2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16F36">
        <w:rPr>
          <w:rFonts w:ascii="Times New Roman" w:hAnsi="Times New Roman" w:cs="Times New Roman"/>
        </w:rPr>
        <w:t>Provedbeni program Grada Mursko Središće za razdoblje 2021. — 2025. godine je temeljni kratkoročni strateški dokument za navedeno mandatno razdoblje, kojim će se osigurati provedba planiranih ciljeva. Izrađen je u svrhu planiranja, organizacije, provedbe i kontrole sveukupnog razvoja Grada te ima funkciju vodiča u procesu razvoja lokalne zajednice. lako je temeljna premisa svake aktivnosti Grada zadovoljavanje potreba građana, ovaj dokument je i polazna osnova za prijavu na različite natječaje urbanog i ruralnog razvoja  u kontekstu razvoja Grada. Sveukupnost općeg razvoja povećava mogućnosti za gospodarski razvoj Grada u čemu se oslanjamo i na prilike koje pruža Republika Hrvatska</w:t>
      </w:r>
      <w:r w:rsidR="009A210E">
        <w:rPr>
          <w:rFonts w:ascii="Times New Roman" w:hAnsi="Times New Roman" w:cs="Times New Roman"/>
        </w:rPr>
        <w:t>,</w:t>
      </w:r>
      <w:r w:rsidRPr="00516F36">
        <w:rPr>
          <w:rFonts w:ascii="Times New Roman" w:hAnsi="Times New Roman" w:cs="Times New Roman"/>
        </w:rPr>
        <w:t xml:space="preserve"> kao i Europska Unija. </w:t>
      </w:r>
    </w:p>
    <w:p w14:paraId="0553FA81" w14:textId="0C972167" w:rsidR="00516F36" w:rsidRDefault="00516F36" w:rsidP="00316A2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16F36">
        <w:rPr>
          <w:rFonts w:ascii="Times New Roman" w:hAnsi="Times New Roman" w:cs="Times New Roman"/>
        </w:rPr>
        <w:t>U ovome Izvješću iskazane su ostvarene vrijednosti indikatora rezultata koji se odnose na ključne točke ostvarenja prioriteta djelovanja iz Provedbenog programa za razdoblje 1. siječnja 202</w:t>
      </w:r>
      <w:r w:rsidR="009A5A68">
        <w:rPr>
          <w:rFonts w:ascii="Times New Roman" w:hAnsi="Times New Roman" w:cs="Times New Roman"/>
        </w:rPr>
        <w:t>5</w:t>
      </w:r>
      <w:r w:rsidRPr="00516F36">
        <w:rPr>
          <w:rFonts w:ascii="Times New Roman" w:hAnsi="Times New Roman" w:cs="Times New Roman"/>
        </w:rPr>
        <w:t>. godine do 31. prosinca 202</w:t>
      </w:r>
      <w:r w:rsidR="009A5A68">
        <w:rPr>
          <w:rFonts w:ascii="Times New Roman" w:hAnsi="Times New Roman" w:cs="Times New Roman"/>
        </w:rPr>
        <w:t>5</w:t>
      </w:r>
      <w:r w:rsidRPr="00516F36">
        <w:rPr>
          <w:rFonts w:ascii="Times New Roman" w:hAnsi="Times New Roman" w:cs="Times New Roman"/>
        </w:rPr>
        <w:t>. godine.</w:t>
      </w:r>
    </w:p>
    <w:p w14:paraId="01BDD7B8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B0971CD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45FBC02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47BC9748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290476FB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2B553C26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7FF143C9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5C268E2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E3E9179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715FB3F5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7F87B882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14BE52D5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47C75BE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15BDD4FD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2EA0B505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64D42C0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3D06B9F5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4618CFA9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40E35033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6B888B24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704EE361" w14:textId="77777777" w:rsidR="000B0894" w:rsidRDefault="000B0894" w:rsidP="00516F36">
      <w:pPr>
        <w:ind w:firstLine="709"/>
        <w:jc w:val="both"/>
        <w:rPr>
          <w:rFonts w:ascii="Times New Roman" w:hAnsi="Times New Roman" w:cs="Times New Roman"/>
        </w:rPr>
      </w:pPr>
    </w:p>
    <w:p w14:paraId="1D75F175" w14:textId="77777777" w:rsidR="000B0894" w:rsidRPr="000B0894" w:rsidRDefault="000B0894" w:rsidP="000B0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8"/>
        </w:rPr>
      </w:pPr>
      <w:bookmarkStart w:id="1" w:name="_Toc189816066"/>
      <w:r w:rsidRPr="000B0894">
        <w:rPr>
          <w:rFonts w:ascii="Times New Roman" w:hAnsi="Times New Roman" w:cs="Times New Roman"/>
          <w:b/>
          <w:color w:val="auto"/>
          <w:sz w:val="28"/>
        </w:rPr>
        <w:lastRenderedPageBreak/>
        <w:t>IZVJEŠĆE O NAPRETKU U PROVEDBI MJERA</w:t>
      </w:r>
      <w:bookmarkEnd w:id="1"/>
    </w:p>
    <w:p w14:paraId="50BCDAA9" w14:textId="77777777" w:rsidR="00516F36" w:rsidRDefault="00516F36" w:rsidP="00516F36"/>
    <w:p w14:paraId="781D7855" w14:textId="10249B96" w:rsidR="000B0894" w:rsidRPr="000B0894" w:rsidRDefault="000B0894" w:rsidP="00F85E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B0894">
        <w:rPr>
          <w:rFonts w:ascii="Times New Roman" w:hAnsi="Times New Roman" w:cs="Times New Roman"/>
        </w:rPr>
        <w:t>Izvješće prikazuje napredak u provedbi mjera koje su zapo</w:t>
      </w:r>
      <w:r w:rsidR="00915C18">
        <w:rPr>
          <w:rFonts w:ascii="Times New Roman" w:hAnsi="Times New Roman" w:cs="Times New Roman"/>
        </w:rPr>
        <w:t>čele s realizacijom tijekom 202</w:t>
      </w:r>
      <w:r w:rsidR="009A6D31">
        <w:rPr>
          <w:rFonts w:ascii="Times New Roman" w:hAnsi="Times New Roman" w:cs="Times New Roman"/>
        </w:rPr>
        <w:t>3</w:t>
      </w:r>
      <w:r w:rsidRPr="000B0894">
        <w:rPr>
          <w:rFonts w:ascii="Times New Roman" w:hAnsi="Times New Roman" w:cs="Times New Roman"/>
        </w:rPr>
        <w:t>.</w:t>
      </w:r>
      <w:r w:rsidR="00915C18">
        <w:rPr>
          <w:rFonts w:ascii="Times New Roman" w:hAnsi="Times New Roman" w:cs="Times New Roman"/>
        </w:rPr>
        <w:t xml:space="preserve"> i 202</w:t>
      </w:r>
      <w:r w:rsidR="009A6D31">
        <w:rPr>
          <w:rFonts w:ascii="Times New Roman" w:hAnsi="Times New Roman" w:cs="Times New Roman"/>
        </w:rPr>
        <w:t>4</w:t>
      </w:r>
      <w:r w:rsidR="00915C18">
        <w:rPr>
          <w:rFonts w:ascii="Times New Roman" w:hAnsi="Times New Roman" w:cs="Times New Roman"/>
        </w:rPr>
        <w:t>.</w:t>
      </w:r>
      <w:r w:rsidRPr="000B0894">
        <w:rPr>
          <w:rFonts w:ascii="Times New Roman" w:hAnsi="Times New Roman" w:cs="Times New Roman"/>
        </w:rPr>
        <w:t xml:space="preserve"> godine, kao i napredak u provedbi mje</w:t>
      </w:r>
      <w:r w:rsidR="00B94676">
        <w:rPr>
          <w:rFonts w:ascii="Times New Roman" w:hAnsi="Times New Roman" w:cs="Times New Roman"/>
        </w:rPr>
        <w:t xml:space="preserve">ra koje su započele tijekom </w:t>
      </w:r>
      <w:r w:rsidR="00915C18">
        <w:rPr>
          <w:rFonts w:ascii="Times New Roman" w:hAnsi="Times New Roman" w:cs="Times New Roman"/>
        </w:rPr>
        <w:t>202</w:t>
      </w:r>
      <w:r w:rsidR="009A6D31">
        <w:rPr>
          <w:rFonts w:ascii="Times New Roman" w:hAnsi="Times New Roman" w:cs="Times New Roman"/>
        </w:rPr>
        <w:t>5</w:t>
      </w:r>
      <w:r w:rsidRPr="000B0894">
        <w:rPr>
          <w:rFonts w:ascii="Times New Roman" w:hAnsi="Times New Roman" w:cs="Times New Roman"/>
        </w:rPr>
        <w:t xml:space="preserve">. godine. </w:t>
      </w:r>
      <w:r w:rsidRPr="006A322F">
        <w:rPr>
          <w:rFonts w:ascii="Times New Roman" w:hAnsi="Times New Roman" w:cs="Times New Roman"/>
        </w:rPr>
        <w:t xml:space="preserve">Ukupna vrijednost aktivnosti prikazanih u Izvješću je </w:t>
      </w:r>
      <w:r w:rsidR="00BC78FF" w:rsidRPr="00BC78FF">
        <w:rPr>
          <w:rFonts w:ascii="Times New Roman" w:hAnsi="Times New Roman" w:cs="Times New Roman"/>
        </w:rPr>
        <w:t>3.604.360,44</w:t>
      </w:r>
      <w:r w:rsidRPr="00BC78FF">
        <w:rPr>
          <w:rFonts w:ascii="Times New Roman" w:hAnsi="Times New Roman" w:cs="Times New Roman"/>
        </w:rPr>
        <w:t xml:space="preserve"> </w:t>
      </w:r>
      <w:r w:rsidRPr="006A322F">
        <w:rPr>
          <w:rFonts w:ascii="Times New Roman" w:hAnsi="Times New Roman" w:cs="Times New Roman"/>
        </w:rPr>
        <w:t>€.</w:t>
      </w:r>
    </w:p>
    <w:p w14:paraId="1D9E4726" w14:textId="77777777" w:rsidR="00516F36" w:rsidRPr="000B0894" w:rsidRDefault="000B0894" w:rsidP="000B0894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2" w:name="_Toc189816067"/>
      <w:r w:rsidRPr="000B0894">
        <w:rPr>
          <w:rFonts w:ascii="Times New Roman" w:hAnsi="Times New Roman" w:cs="Times New Roman"/>
          <w:b/>
          <w:color w:val="auto"/>
          <w:sz w:val="25"/>
          <w:szCs w:val="25"/>
        </w:rPr>
        <w:t>PC 1.1: Konkurentno i inovativno gospodarstvo</w:t>
      </w:r>
      <w:bookmarkEnd w:id="2"/>
      <w:r w:rsidRPr="000B0894">
        <w:rPr>
          <w:rFonts w:ascii="Times New Roman" w:hAnsi="Times New Roman" w:cs="Times New Roman"/>
          <w:b/>
          <w:color w:val="auto"/>
          <w:sz w:val="25"/>
          <w:szCs w:val="25"/>
        </w:rPr>
        <w:t xml:space="preserve"> </w:t>
      </w:r>
    </w:p>
    <w:p w14:paraId="5C1C306E" w14:textId="77777777" w:rsidR="00516F36" w:rsidRDefault="00516F36"/>
    <w:p w14:paraId="407ACB92" w14:textId="1D581327" w:rsidR="009525B9" w:rsidRPr="009525B9" w:rsidRDefault="00745C94" w:rsidP="00F85E39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 </w:t>
      </w:r>
      <w:r w:rsidRPr="00C32558">
        <w:rPr>
          <w:rFonts w:ascii="Times New Roman" w:hAnsi="Times New Roman" w:cs="Times New Roman"/>
          <w:i/>
        </w:rPr>
        <w:t>„Konkurentno i inovativno gospodarstvo“</w:t>
      </w:r>
      <w:r>
        <w:rPr>
          <w:rFonts w:ascii="Times New Roman" w:hAnsi="Times New Roman" w:cs="Times New Roman"/>
        </w:rPr>
        <w:t xml:space="preserve"> sastoji se od dvije mjere. Prva mjera je </w:t>
      </w:r>
      <w:r w:rsidRPr="00C32558">
        <w:rPr>
          <w:rFonts w:ascii="Times New Roman" w:hAnsi="Times New Roman" w:cs="Times New Roman"/>
          <w:i/>
        </w:rPr>
        <w:t>M 1.1.1. Jačanje usluge potpore poduzetništvu</w:t>
      </w:r>
      <w:r w:rsidR="008421FC">
        <w:rPr>
          <w:rFonts w:ascii="Times New Roman" w:hAnsi="Times New Roman" w:cs="Times New Roman"/>
        </w:rPr>
        <w:t xml:space="preserve">, a sastoji se od dva pokazatelja – </w:t>
      </w:r>
      <w:r w:rsidR="008421FC" w:rsidRPr="00C32558">
        <w:rPr>
          <w:rFonts w:ascii="Times New Roman" w:hAnsi="Times New Roman" w:cs="Times New Roman"/>
          <w:i/>
        </w:rPr>
        <w:t>Broj održanih sajmova</w:t>
      </w:r>
      <w:r w:rsidR="008421FC">
        <w:rPr>
          <w:rFonts w:ascii="Times New Roman" w:hAnsi="Times New Roman" w:cs="Times New Roman"/>
        </w:rPr>
        <w:t xml:space="preserve"> </w:t>
      </w:r>
      <w:r w:rsidR="00C32558">
        <w:rPr>
          <w:rFonts w:ascii="Times New Roman" w:hAnsi="Times New Roman" w:cs="Times New Roman"/>
        </w:rPr>
        <w:t xml:space="preserve">i </w:t>
      </w:r>
      <w:r w:rsidR="00C32558" w:rsidRPr="00C32558">
        <w:rPr>
          <w:rFonts w:ascii="Times New Roman" w:hAnsi="Times New Roman" w:cs="Times New Roman"/>
          <w:i/>
        </w:rPr>
        <w:t>Broj potpora sufinanciranja</w:t>
      </w:r>
      <w:r w:rsidR="00C32558">
        <w:rPr>
          <w:rFonts w:ascii="Times New Roman" w:hAnsi="Times New Roman" w:cs="Times New Roman"/>
        </w:rPr>
        <w:t xml:space="preserve">. </w:t>
      </w:r>
      <w:r w:rsidR="000B0894" w:rsidRPr="000B0894">
        <w:rPr>
          <w:rFonts w:ascii="Times New Roman" w:hAnsi="Times New Roman" w:cs="Times New Roman"/>
        </w:rPr>
        <w:t>Tijekom 202</w:t>
      </w:r>
      <w:r w:rsidR="009A6D31">
        <w:rPr>
          <w:rFonts w:ascii="Times New Roman" w:hAnsi="Times New Roman" w:cs="Times New Roman"/>
        </w:rPr>
        <w:t>5</w:t>
      </w:r>
      <w:r w:rsidR="000B0894" w:rsidRPr="000B0894">
        <w:rPr>
          <w:rFonts w:ascii="Times New Roman" w:hAnsi="Times New Roman" w:cs="Times New Roman"/>
        </w:rPr>
        <w:t>. godine održana su ukupno dva sajma poslova, što je jednak broj kao i u 202</w:t>
      </w:r>
      <w:r w:rsidR="009A6D31">
        <w:rPr>
          <w:rFonts w:ascii="Times New Roman" w:hAnsi="Times New Roman" w:cs="Times New Roman"/>
        </w:rPr>
        <w:t>4</w:t>
      </w:r>
      <w:r w:rsidR="000B0894" w:rsidRPr="000B0894">
        <w:rPr>
          <w:rFonts w:ascii="Times New Roman" w:hAnsi="Times New Roman" w:cs="Times New Roman"/>
        </w:rPr>
        <w:t>. godini. Također, u promatranom razdoblju nije dodijeljena nijedna potpora sufinanciranja kreditiranja poduzetništva žena, mladih i početnika, što također ne predstavlja promjenu u odnosu na 202</w:t>
      </w:r>
      <w:r w:rsidR="009A6D31">
        <w:rPr>
          <w:rFonts w:ascii="Times New Roman" w:hAnsi="Times New Roman" w:cs="Times New Roman"/>
        </w:rPr>
        <w:t>4</w:t>
      </w:r>
      <w:r w:rsidR="000B0894" w:rsidRPr="000B0894">
        <w:rPr>
          <w:rFonts w:ascii="Times New Roman" w:hAnsi="Times New Roman" w:cs="Times New Roman"/>
        </w:rPr>
        <w:t xml:space="preserve">. godinu. </w:t>
      </w:r>
      <w:r w:rsidR="009525B9">
        <w:rPr>
          <w:rFonts w:ascii="Times New Roman" w:hAnsi="Times New Roman" w:cs="Times New Roman"/>
        </w:rPr>
        <w:t xml:space="preserve">Druga mjera je </w:t>
      </w:r>
      <w:r w:rsidR="000B0894" w:rsidRPr="006843B9">
        <w:rPr>
          <w:rFonts w:ascii="Times New Roman" w:hAnsi="Times New Roman" w:cs="Times New Roman"/>
          <w:i/>
        </w:rPr>
        <w:t>M.1.1.5. Proaktivno pristupanje privlačenju ulaga</w:t>
      </w:r>
      <w:r w:rsidR="009525B9">
        <w:rPr>
          <w:rFonts w:ascii="Times New Roman" w:hAnsi="Times New Roman" w:cs="Times New Roman"/>
          <w:i/>
        </w:rPr>
        <w:t xml:space="preserve">nja i razvoju gospodarskih zona. </w:t>
      </w:r>
      <w:r w:rsidR="009525B9">
        <w:rPr>
          <w:rFonts w:ascii="Times New Roman" w:hAnsi="Times New Roman" w:cs="Times New Roman"/>
        </w:rPr>
        <w:t xml:space="preserve">Unutar ove mjere, kao ključna aktivnost može se istaknuti uređenje industrijske zone </w:t>
      </w:r>
      <w:r w:rsidR="00A24186">
        <w:rPr>
          <w:rFonts w:ascii="Times New Roman" w:hAnsi="Times New Roman" w:cs="Times New Roman"/>
        </w:rPr>
        <w:t xml:space="preserve">jug, a za koju je definiran jedan pokazatelj – </w:t>
      </w:r>
      <w:r w:rsidR="00A24186" w:rsidRPr="00A24186">
        <w:rPr>
          <w:rFonts w:ascii="Times New Roman" w:hAnsi="Times New Roman" w:cs="Times New Roman"/>
          <w:i/>
        </w:rPr>
        <w:t>Broj uređenih parcela</w:t>
      </w:r>
      <w:r w:rsidR="00A24186">
        <w:rPr>
          <w:rFonts w:ascii="Times New Roman" w:hAnsi="Times New Roman" w:cs="Times New Roman"/>
        </w:rPr>
        <w:t xml:space="preserve">. </w:t>
      </w:r>
    </w:p>
    <w:p w14:paraId="41E07130" w14:textId="77777777" w:rsidR="007020E8" w:rsidRPr="000B0894" w:rsidRDefault="007020E8" w:rsidP="007020E8">
      <w:pPr>
        <w:pStyle w:val="Naslov2"/>
        <w:numPr>
          <w:ilvl w:val="0"/>
          <w:numId w:val="2"/>
        </w:numPr>
      </w:pPr>
      <w:bookmarkStart w:id="3" w:name="_Toc189816068"/>
      <w:r w:rsidRPr="007020E8">
        <w:rPr>
          <w:rFonts w:ascii="Times New Roman" w:hAnsi="Times New Roman" w:cs="Times New Roman"/>
          <w:b/>
          <w:color w:val="auto"/>
          <w:sz w:val="25"/>
          <w:szCs w:val="25"/>
        </w:rPr>
        <w:t>PC 1.2: Suvremeno i otporno biogospodarstvo</w:t>
      </w:r>
      <w:bookmarkEnd w:id="3"/>
    </w:p>
    <w:p w14:paraId="5A630D69" w14:textId="77777777" w:rsidR="00516F36" w:rsidRDefault="00516F36"/>
    <w:p w14:paraId="25066038" w14:textId="1F574EB9" w:rsidR="007020E8" w:rsidRDefault="00B31A12" w:rsidP="007020E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Cilj </w:t>
      </w:r>
      <w:r w:rsidRPr="00DD6B69">
        <w:rPr>
          <w:rFonts w:ascii="Times New Roman" w:hAnsi="Times New Roman" w:cs="Times New Roman"/>
          <w:i/>
        </w:rPr>
        <w:t>„Suvremeno i otporno biogospodarstvo“</w:t>
      </w:r>
      <w:r>
        <w:rPr>
          <w:rFonts w:ascii="Times New Roman" w:hAnsi="Times New Roman" w:cs="Times New Roman"/>
        </w:rPr>
        <w:t xml:space="preserve"> sastoji se od jedne mjere – </w:t>
      </w:r>
      <w:r w:rsidRPr="00DD6B69">
        <w:rPr>
          <w:rFonts w:ascii="Times New Roman" w:hAnsi="Times New Roman" w:cs="Times New Roman"/>
          <w:i/>
        </w:rPr>
        <w:t>M 1.2.2. Dobro upravljanje tlom, vodama i bioraznolikošću</w:t>
      </w:r>
      <w:r>
        <w:rPr>
          <w:rFonts w:ascii="Times New Roman" w:hAnsi="Times New Roman" w:cs="Times New Roman"/>
        </w:rPr>
        <w:t xml:space="preserve">. </w:t>
      </w:r>
      <w:r w:rsidR="007020E8" w:rsidRPr="007020E8">
        <w:rPr>
          <w:rFonts w:ascii="Times New Roman" w:hAnsi="Times New Roman" w:cs="Times New Roman"/>
        </w:rPr>
        <w:t xml:space="preserve">Unutar mjere </w:t>
      </w:r>
      <w:r w:rsidR="007020E8" w:rsidRPr="00DD6B69">
        <w:rPr>
          <w:rFonts w:ascii="Times New Roman" w:hAnsi="Times New Roman" w:cs="Times New Roman"/>
          <w:i/>
        </w:rPr>
        <w:t>M 1.2.2. Dobro upravljanje tlom, vodama i bioraznolikošću</w:t>
      </w:r>
      <w:r w:rsidR="007020E8" w:rsidRPr="007020E8">
        <w:rPr>
          <w:rFonts w:ascii="Times New Roman" w:hAnsi="Times New Roman" w:cs="Times New Roman"/>
        </w:rPr>
        <w:t xml:space="preserve"> definiran je jedan pokazatelj – </w:t>
      </w:r>
      <w:r w:rsidR="007020E8" w:rsidRPr="00DD6B69">
        <w:rPr>
          <w:rFonts w:ascii="Times New Roman" w:hAnsi="Times New Roman" w:cs="Times New Roman"/>
          <w:i/>
        </w:rPr>
        <w:t>Broj provedenih analiza plodnosti tla</w:t>
      </w:r>
      <w:r w:rsidR="007020E8" w:rsidRPr="007020E8">
        <w:rPr>
          <w:rFonts w:ascii="Times New Roman" w:hAnsi="Times New Roman" w:cs="Times New Roman"/>
        </w:rPr>
        <w:t>. Tijekom 202</w:t>
      </w:r>
      <w:r w:rsidR="009A6D31">
        <w:rPr>
          <w:rFonts w:ascii="Times New Roman" w:hAnsi="Times New Roman" w:cs="Times New Roman"/>
        </w:rPr>
        <w:t>5</w:t>
      </w:r>
      <w:r w:rsidR="007020E8" w:rsidRPr="007020E8">
        <w:rPr>
          <w:rFonts w:ascii="Times New Roman" w:hAnsi="Times New Roman" w:cs="Times New Roman"/>
        </w:rPr>
        <w:t xml:space="preserve">. godine </w:t>
      </w:r>
      <w:r w:rsidR="009A6D31">
        <w:rPr>
          <w:rFonts w:ascii="Times New Roman" w:hAnsi="Times New Roman" w:cs="Times New Roman"/>
        </w:rPr>
        <w:t>provedena je jedna</w:t>
      </w:r>
      <w:r w:rsidR="007020E8" w:rsidRPr="007020E8">
        <w:rPr>
          <w:rFonts w:ascii="Times New Roman" w:hAnsi="Times New Roman" w:cs="Times New Roman"/>
        </w:rPr>
        <w:t xml:space="preserve"> </w:t>
      </w:r>
      <w:r w:rsidR="00466B2B">
        <w:rPr>
          <w:rFonts w:ascii="Times New Roman" w:hAnsi="Times New Roman" w:cs="Times New Roman"/>
        </w:rPr>
        <w:t xml:space="preserve">analiza </w:t>
      </w:r>
      <w:r w:rsidR="007020E8" w:rsidRPr="007020E8">
        <w:rPr>
          <w:rFonts w:ascii="Times New Roman" w:hAnsi="Times New Roman" w:cs="Times New Roman"/>
        </w:rPr>
        <w:t>tla na području Grada Mursko Središće.</w:t>
      </w:r>
      <w:r w:rsidR="003E0A33">
        <w:rPr>
          <w:rFonts w:ascii="Times New Roman" w:hAnsi="Times New Roman" w:cs="Times New Roman"/>
        </w:rPr>
        <w:t xml:space="preserve"> Izvršenje proračuna za navedenu mjeru iznosi </w:t>
      </w:r>
      <w:r w:rsidR="00466B2B">
        <w:rPr>
          <w:rFonts w:ascii="Times New Roman" w:hAnsi="Times New Roman" w:cs="Times New Roman"/>
        </w:rPr>
        <w:t>120,00</w:t>
      </w:r>
      <w:r w:rsidR="003E0A33">
        <w:rPr>
          <w:rFonts w:ascii="Times New Roman" w:hAnsi="Times New Roman" w:cs="Times New Roman"/>
        </w:rPr>
        <w:t xml:space="preserve"> €</w:t>
      </w:r>
      <w:r w:rsidR="0094207F">
        <w:rPr>
          <w:rFonts w:ascii="Times New Roman" w:hAnsi="Times New Roman" w:cs="Times New Roman"/>
        </w:rPr>
        <w:t>. U istaknuti iznos uključeni su troškovi provedbe programa „Kontrola plodnosti tla“</w:t>
      </w:r>
      <w:r w:rsidR="00466B2B">
        <w:rPr>
          <w:rFonts w:ascii="Times New Roman" w:hAnsi="Times New Roman" w:cs="Times New Roman"/>
        </w:rPr>
        <w:t>.</w:t>
      </w:r>
    </w:p>
    <w:p w14:paraId="00A60D7A" w14:textId="77777777" w:rsidR="000A151C" w:rsidRDefault="000A151C" w:rsidP="000A151C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4" w:name="_Toc189816069"/>
      <w:r w:rsidRPr="000A151C">
        <w:rPr>
          <w:rFonts w:ascii="Times New Roman" w:hAnsi="Times New Roman" w:cs="Times New Roman"/>
          <w:b/>
          <w:color w:val="auto"/>
          <w:sz w:val="25"/>
          <w:szCs w:val="25"/>
        </w:rPr>
        <w:t>PC 1.3: Održiv i otporan turizam</w:t>
      </w:r>
      <w:bookmarkEnd w:id="4"/>
      <w:r w:rsidRPr="000A151C">
        <w:rPr>
          <w:rFonts w:ascii="Times New Roman" w:hAnsi="Times New Roman" w:cs="Times New Roman"/>
          <w:b/>
          <w:color w:val="auto"/>
          <w:sz w:val="25"/>
          <w:szCs w:val="25"/>
        </w:rPr>
        <w:t xml:space="preserve"> </w:t>
      </w:r>
    </w:p>
    <w:p w14:paraId="7D5FBF95" w14:textId="77777777" w:rsidR="000A151C" w:rsidRDefault="000A151C" w:rsidP="000A151C"/>
    <w:p w14:paraId="5D45B528" w14:textId="70EE5DE8" w:rsidR="000A151C" w:rsidRPr="00865713" w:rsidRDefault="000A151C" w:rsidP="000A151C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0A151C">
        <w:rPr>
          <w:rFonts w:ascii="Times New Roman" w:hAnsi="Times New Roman" w:cs="Times New Roman"/>
        </w:rPr>
        <w:t xml:space="preserve">Cilj </w:t>
      </w:r>
      <w:r w:rsidRPr="00D165FC">
        <w:rPr>
          <w:rFonts w:ascii="Times New Roman" w:hAnsi="Times New Roman" w:cs="Times New Roman"/>
          <w:i/>
        </w:rPr>
        <w:t>„Održiv i otporan turizam“</w:t>
      </w:r>
      <w:r w:rsidRPr="000A151C">
        <w:rPr>
          <w:rFonts w:ascii="Times New Roman" w:hAnsi="Times New Roman" w:cs="Times New Roman"/>
        </w:rPr>
        <w:t xml:space="preserve"> sastoji se od tri mjere. Prva mjera je </w:t>
      </w:r>
      <w:r w:rsidRPr="00D165FC">
        <w:rPr>
          <w:rFonts w:ascii="Times New Roman" w:hAnsi="Times New Roman" w:cs="Times New Roman"/>
          <w:i/>
        </w:rPr>
        <w:t>M 1.3.1. Unapređenje postojećih i razvoj novih turističkih proizvoda i usluga vodeći računa o kulturi, zaštiti prirode i kvaliteti života stanovništva</w:t>
      </w:r>
      <w:r w:rsidRPr="000A151C">
        <w:rPr>
          <w:rFonts w:ascii="Times New Roman" w:hAnsi="Times New Roman" w:cs="Times New Roman"/>
        </w:rPr>
        <w:t xml:space="preserve">. Kao jedan od pokazatelja uspješnosti postizanja navedene mjere, odnosno cilja, može se istaknuti </w:t>
      </w:r>
      <w:r w:rsidRPr="00D165FC">
        <w:rPr>
          <w:rFonts w:ascii="Times New Roman" w:hAnsi="Times New Roman" w:cs="Times New Roman"/>
          <w:i/>
        </w:rPr>
        <w:t>Broj održanih manifestacija</w:t>
      </w:r>
      <w:r w:rsidRPr="000A151C">
        <w:rPr>
          <w:rFonts w:ascii="Times New Roman" w:hAnsi="Times New Roman" w:cs="Times New Roman"/>
        </w:rPr>
        <w:t xml:space="preserve"> koji u 202</w:t>
      </w:r>
      <w:r w:rsidR="00B75540">
        <w:rPr>
          <w:rFonts w:ascii="Times New Roman" w:hAnsi="Times New Roman" w:cs="Times New Roman"/>
        </w:rPr>
        <w:t>5</w:t>
      </w:r>
      <w:r w:rsidRPr="000A151C">
        <w:rPr>
          <w:rFonts w:ascii="Times New Roman" w:hAnsi="Times New Roman" w:cs="Times New Roman"/>
        </w:rPr>
        <w:t>. godini iznosi 1</w:t>
      </w:r>
      <w:r w:rsidR="00B75540">
        <w:rPr>
          <w:rFonts w:ascii="Times New Roman" w:hAnsi="Times New Roman" w:cs="Times New Roman"/>
        </w:rPr>
        <w:t>0</w:t>
      </w:r>
      <w:r w:rsidRPr="000A151C">
        <w:rPr>
          <w:rFonts w:ascii="Times New Roman" w:hAnsi="Times New Roman" w:cs="Times New Roman"/>
        </w:rPr>
        <w:t>. To su sljedeće manifestacije: „Noć muzeja“, „Serjojnski fašnik“, „Što smo, kaj smo i kak kuhamo“, „Doček u podne“, Dani Grada/Ljeto uz Muru“, „September v Središću, „Advent u gradu rudara“, „Martinje“, „Uskrsna vuzmenka“</w:t>
      </w:r>
      <w:r w:rsidR="00D165FC">
        <w:rPr>
          <w:rFonts w:ascii="Times New Roman" w:hAnsi="Times New Roman" w:cs="Times New Roman"/>
        </w:rPr>
        <w:t xml:space="preserve"> i „</w:t>
      </w:r>
      <w:r w:rsidR="00BD34C8">
        <w:rPr>
          <w:rFonts w:ascii="Times New Roman" w:hAnsi="Times New Roman" w:cs="Times New Roman"/>
        </w:rPr>
        <w:t>Serjojnska berba</w:t>
      </w:r>
      <w:r w:rsidR="00460D21">
        <w:rPr>
          <w:rFonts w:ascii="Times New Roman" w:hAnsi="Times New Roman" w:cs="Times New Roman"/>
        </w:rPr>
        <w:t xml:space="preserve"> grožđa</w:t>
      </w:r>
      <w:r w:rsidR="00D165FC">
        <w:rPr>
          <w:rFonts w:ascii="Times New Roman" w:hAnsi="Times New Roman" w:cs="Times New Roman"/>
        </w:rPr>
        <w:t>“</w:t>
      </w:r>
      <w:r w:rsidRPr="000A151C">
        <w:rPr>
          <w:rFonts w:ascii="Times New Roman" w:hAnsi="Times New Roman" w:cs="Times New Roman"/>
        </w:rPr>
        <w:t xml:space="preserve">. Drugi pokazatelj unutar ove mjere je </w:t>
      </w:r>
      <w:r w:rsidRPr="00F27C1D">
        <w:rPr>
          <w:rFonts w:ascii="Times New Roman" w:hAnsi="Times New Roman" w:cs="Times New Roman"/>
          <w:i/>
        </w:rPr>
        <w:t>Broj pruženih usluga prijevoza skelom preko rijeke Mure</w:t>
      </w:r>
      <w:r w:rsidRPr="000A151C">
        <w:rPr>
          <w:rFonts w:ascii="Times New Roman" w:hAnsi="Times New Roman" w:cs="Times New Roman"/>
        </w:rPr>
        <w:t xml:space="preserve">, koji u izvještajnom razdoblju ima vrijednost </w:t>
      </w:r>
      <w:r w:rsidR="00B75540">
        <w:rPr>
          <w:rFonts w:ascii="Times New Roman" w:hAnsi="Times New Roman" w:cs="Times New Roman"/>
        </w:rPr>
        <w:t>12.336 ukupno za skelu Fusek Mursko Središće i Skelu Križovec</w:t>
      </w:r>
      <w:r w:rsidRPr="000A151C">
        <w:rPr>
          <w:rFonts w:ascii="Times New Roman" w:hAnsi="Times New Roman" w:cs="Times New Roman"/>
        </w:rPr>
        <w:t xml:space="preserve">. </w:t>
      </w:r>
      <w:r w:rsidRPr="00AA7A38">
        <w:rPr>
          <w:rFonts w:ascii="Times New Roman" w:hAnsi="Times New Roman" w:cs="Times New Roman"/>
        </w:rPr>
        <w:t xml:space="preserve">Izvršenje proračuna za tu mjeru iznosi </w:t>
      </w:r>
      <w:r w:rsidR="00B75540">
        <w:rPr>
          <w:rFonts w:ascii="Times New Roman" w:hAnsi="Times New Roman" w:cs="Times New Roman"/>
        </w:rPr>
        <w:t>133.903,81</w:t>
      </w:r>
      <w:r w:rsidR="00975488">
        <w:rPr>
          <w:rFonts w:ascii="Times New Roman" w:hAnsi="Times New Roman" w:cs="Times New Roman"/>
        </w:rPr>
        <w:t xml:space="preserve"> </w:t>
      </w:r>
      <w:r w:rsidRPr="00AA7A38">
        <w:rPr>
          <w:rFonts w:ascii="Times New Roman" w:hAnsi="Times New Roman" w:cs="Times New Roman"/>
        </w:rPr>
        <w:t xml:space="preserve">€. </w:t>
      </w:r>
    </w:p>
    <w:p w14:paraId="5643B8D7" w14:textId="1C645428" w:rsidR="00B64CCD" w:rsidRDefault="000A151C" w:rsidP="000A15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0A151C">
        <w:rPr>
          <w:rFonts w:ascii="Times New Roman" w:hAnsi="Times New Roman" w:cs="Times New Roman"/>
        </w:rPr>
        <w:t xml:space="preserve">Druga mjera je </w:t>
      </w:r>
      <w:r w:rsidRPr="00322214">
        <w:rPr>
          <w:rFonts w:ascii="Times New Roman" w:hAnsi="Times New Roman" w:cs="Times New Roman"/>
          <w:i/>
        </w:rPr>
        <w:t>M 1.3.2. Jačanje kapaciteta, konkurentnosti, suradnje i kvalitete pružatelja usluga u turizmu</w:t>
      </w:r>
      <w:r w:rsidR="00B64CCD">
        <w:rPr>
          <w:rFonts w:ascii="Times New Roman" w:hAnsi="Times New Roman" w:cs="Times New Roman"/>
        </w:rPr>
        <w:t>. Ova se mjera odnosi na aktivnosti provedene u sklopu projekta Energy tour, a zahvaljujući kojem se tijekom prethodnih godina omogućilo ulaganje u Spomen</w:t>
      </w:r>
      <w:r w:rsidR="001D027E">
        <w:rPr>
          <w:rFonts w:ascii="Times New Roman" w:hAnsi="Times New Roman" w:cs="Times New Roman"/>
        </w:rPr>
        <w:t xml:space="preserve"> park naftaštva u Peklenici i Spomen dom </w:t>
      </w:r>
      <w:r w:rsidR="001D027E">
        <w:rPr>
          <w:rFonts w:ascii="Times New Roman" w:hAnsi="Times New Roman" w:cs="Times New Roman"/>
        </w:rPr>
        <w:lastRenderedPageBreak/>
        <w:t xml:space="preserve">rudarstva „Cimper“ u Murskom Središću. </w:t>
      </w:r>
      <w:r w:rsidR="00B64CCD">
        <w:rPr>
          <w:rFonts w:ascii="Times New Roman" w:hAnsi="Times New Roman" w:cs="Times New Roman"/>
        </w:rPr>
        <w:t>S obzirom da je projekt započeo s provedbom 01. listopada 2020. godine, a trajanje provedbe projekta je 24 mjeseci, tijekom 202</w:t>
      </w:r>
      <w:r w:rsidR="00B75540">
        <w:rPr>
          <w:rFonts w:ascii="Times New Roman" w:hAnsi="Times New Roman" w:cs="Times New Roman"/>
        </w:rPr>
        <w:t>5</w:t>
      </w:r>
      <w:r w:rsidR="00B64CCD">
        <w:rPr>
          <w:rFonts w:ascii="Times New Roman" w:hAnsi="Times New Roman" w:cs="Times New Roman"/>
        </w:rPr>
        <w:t xml:space="preserve">. godine nisu se provodile nikakve aktivnosti. </w:t>
      </w:r>
    </w:p>
    <w:p w14:paraId="7F16ECDD" w14:textId="2F428A39" w:rsidR="000A151C" w:rsidRPr="00422EA8" w:rsidRDefault="000A151C" w:rsidP="000A151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22EA8">
        <w:rPr>
          <w:rFonts w:ascii="Times New Roman" w:hAnsi="Times New Roman" w:cs="Times New Roman"/>
        </w:rPr>
        <w:t xml:space="preserve">Treća mjera je </w:t>
      </w:r>
      <w:r w:rsidRPr="00422EA8">
        <w:rPr>
          <w:rFonts w:ascii="Times New Roman" w:hAnsi="Times New Roman" w:cs="Times New Roman"/>
          <w:i/>
        </w:rPr>
        <w:t xml:space="preserve">M 1.3.3. Podizanje turističke prepoznatljivosti Međimurske županije kao destinacije za kvalitetan odmor. </w:t>
      </w:r>
      <w:r w:rsidRPr="00422EA8">
        <w:rPr>
          <w:rFonts w:ascii="Times New Roman" w:hAnsi="Times New Roman" w:cs="Times New Roman"/>
        </w:rPr>
        <w:t>Razmatrajući aktivnost definiranu za navedenu mjeru može se vidjeti da je broj metara izgrađene obale jednak nula</w:t>
      </w:r>
      <w:r w:rsidR="00026263">
        <w:rPr>
          <w:rFonts w:ascii="Times New Roman" w:hAnsi="Times New Roman" w:cs="Times New Roman"/>
        </w:rPr>
        <w:t xml:space="preserve">, a svi </w:t>
      </w:r>
      <w:r w:rsidR="00026263" w:rsidRPr="00B75540">
        <w:rPr>
          <w:rFonts w:ascii="Times New Roman" w:hAnsi="Times New Roman" w:cs="Times New Roman"/>
        </w:rPr>
        <w:t xml:space="preserve">troškovi </w:t>
      </w:r>
      <w:r w:rsidR="00C01DD8" w:rsidRPr="00B75540">
        <w:rPr>
          <w:rFonts w:ascii="Times New Roman" w:hAnsi="Times New Roman" w:cs="Times New Roman"/>
        </w:rPr>
        <w:t xml:space="preserve">nastali </w:t>
      </w:r>
      <w:r w:rsidR="00026263" w:rsidRPr="00B75540">
        <w:rPr>
          <w:rFonts w:ascii="Times New Roman" w:hAnsi="Times New Roman" w:cs="Times New Roman"/>
        </w:rPr>
        <w:t>u 202</w:t>
      </w:r>
      <w:r w:rsidR="00B75540" w:rsidRPr="00B75540">
        <w:rPr>
          <w:rFonts w:ascii="Times New Roman" w:hAnsi="Times New Roman" w:cs="Times New Roman"/>
        </w:rPr>
        <w:t>5</w:t>
      </w:r>
      <w:r w:rsidR="00026263" w:rsidRPr="00B75540">
        <w:rPr>
          <w:rFonts w:ascii="Times New Roman" w:hAnsi="Times New Roman" w:cs="Times New Roman"/>
        </w:rPr>
        <w:t xml:space="preserve">. godini odnose se na sanaciju i uređenje </w:t>
      </w:r>
      <w:r w:rsidR="00466B2B">
        <w:rPr>
          <w:rFonts w:ascii="Times New Roman" w:hAnsi="Times New Roman" w:cs="Times New Roman"/>
        </w:rPr>
        <w:t xml:space="preserve">postojeće </w:t>
      </w:r>
      <w:r w:rsidR="00026263" w:rsidRPr="00B75540">
        <w:rPr>
          <w:rFonts w:ascii="Times New Roman" w:hAnsi="Times New Roman" w:cs="Times New Roman"/>
        </w:rPr>
        <w:t xml:space="preserve">šetnice sv. Barbare. </w:t>
      </w:r>
      <w:r w:rsidR="00422EA8" w:rsidRPr="00B75540">
        <w:rPr>
          <w:rFonts w:ascii="Times New Roman" w:hAnsi="Times New Roman" w:cs="Times New Roman"/>
        </w:rPr>
        <w:t xml:space="preserve">Izvršenje proračuna za navedenu mjeru iznosi </w:t>
      </w:r>
      <w:r w:rsidR="00B75540" w:rsidRPr="00B75540">
        <w:rPr>
          <w:rFonts w:ascii="Times New Roman" w:hAnsi="Times New Roman" w:cs="Times New Roman"/>
        </w:rPr>
        <w:t>28.600,00</w:t>
      </w:r>
      <w:r w:rsidR="00422EA8" w:rsidRPr="00B75540">
        <w:rPr>
          <w:rFonts w:ascii="Times New Roman" w:hAnsi="Times New Roman" w:cs="Times New Roman"/>
        </w:rPr>
        <w:t xml:space="preserve"> €</w:t>
      </w:r>
      <w:r w:rsidR="00026263" w:rsidRPr="00B75540">
        <w:rPr>
          <w:rFonts w:ascii="Times New Roman" w:hAnsi="Times New Roman" w:cs="Times New Roman"/>
        </w:rPr>
        <w:t>.</w:t>
      </w:r>
      <w:r w:rsidR="00422EA8" w:rsidRPr="00B75540">
        <w:rPr>
          <w:rFonts w:ascii="Times New Roman" w:hAnsi="Times New Roman" w:cs="Times New Roman"/>
        </w:rPr>
        <w:t xml:space="preserve"> </w:t>
      </w:r>
    </w:p>
    <w:p w14:paraId="2D89D58B" w14:textId="77777777" w:rsidR="000A151C" w:rsidRPr="00FB174B" w:rsidRDefault="00FB174B" w:rsidP="000A151C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5" w:name="_Toc189816070"/>
      <w:r w:rsidRPr="00FB174B">
        <w:rPr>
          <w:rFonts w:ascii="Times New Roman" w:hAnsi="Times New Roman" w:cs="Times New Roman"/>
          <w:b/>
          <w:color w:val="auto"/>
          <w:sz w:val="25"/>
          <w:szCs w:val="25"/>
        </w:rPr>
        <w:t>PC 1.4: Kvalitetno i suvremeno obrazovanje</w:t>
      </w:r>
      <w:bookmarkEnd w:id="5"/>
      <w:r w:rsidRPr="00FB174B">
        <w:rPr>
          <w:rFonts w:ascii="Times New Roman" w:hAnsi="Times New Roman" w:cs="Times New Roman"/>
          <w:b/>
          <w:color w:val="auto"/>
          <w:sz w:val="25"/>
          <w:szCs w:val="25"/>
        </w:rPr>
        <w:t xml:space="preserve"> </w:t>
      </w:r>
    </w:p>
    <w:p w14:paraId="1BD207B2" w14:textId="77777777" w:rsidR="000A151C" w:rsidRDefault="000A151C" w:rsidP="000A151C"/>
    <w:p w14:paraId="637DF51A" w14:textId="3FC9261B" w:rsidR="00181EAB" w:rsidRPr="00181EAB" w:rsidRDefault="00181EAB" w:rsidP="00181EA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1EAB">
        <w:rPr>
          <w:rFonts w:ascii="Times New Roman" w:hAnsi="Times New Roman" w:cs="Times New Roman"/>
        </w:rPr>
        <w:t xml:space="preserve">Unutar cilja </w:t>
      </w:r>
      <w:r w:rsidRPr="00B53B91">
        <w:rPr>
          <w:rFonts w:ascii="Times New Roman" w:hAnsi="Times New Roman" w:cs="Times New Roman"/>
          <w:i/>
        </w:rPr>
        <w:t>„Kvalitetno i suvremeno obrazovanje“</w:t>
      </w:r>
      <w:r w:rsidRPr="00181EAB">
        <w:rPr>
          <w:rFonts w:ascii="Times New Roman" w:hAnsi="Times New Roman" w:cs="Times New Roman"/>
        </w:rPr>
        <w:t xml:space="preserve"> sadržane su dvije mjere. Prva mjera je </w:t>
      </w:r>
      <w:r w:rsidRPr="00B53B91">
        <w:rPr>
          <w:rFonts w:ascii="Times New Roman" w:hAnsi="Times New Roman" w:cs="Times New Roman"/>
          <w:i/>
        </w:rPr>
        <w:t>M 1.4.2. Osiguranje odgovarajućih ljudskih i materijalnih kapaciteta za predškolske i školske ustanove</w:t>
      </w:r>
      <w:r w:rsidRPr="00181EAB">
        <w:rPr>
          <w:rFonts w:ascii="Times New Roman" w:hAnsi="Times New Roman" w:cs="Times New Roman"/>
        </w:rPr>
        <w:t xml:space="preserve">. U okviru ove mjere predviđena je provedba projekata usmjerenih na unaprjeđenje kvalitete usluga u predškolskom odgoju i osiguravanje pomoćnika/asistenta u predškolskom i osnovnoškolskom odgoju. Pokazatelj </w:t>
      </w:r>
      <w:r w:rsidRPr="00B53B91">
        <w:rPr>
          <w:rFonts w:ascii="Times New Roman" w:hAnsi="Times New Roman" w:cs="Times New Roman"/>
          <w:i/>
        </w:rPr>
        <w:t xml:space="preserve">Broj provedenih projekata iz područja odgoja i obrazovanja </w:t>
      </w:r>
      <w:r w:rsidRPr="00181EAB">
        <w:rPr>
          <w:rFonts w:ascii="Times New Roman" w:hAnsi="Times New Roman" w:cs="Times New Roman"/>
        </w:rPr>
        <w:t>u 202</w:t>
      </w:r>
      <w:r w:rsidR="00466B2B">
        <w:rPr>
          <w:rFonts w:ascii="Times New Roman" w:hAnsi="Times New Roman" w:cs="Times New Roman"/>
        </w:rPr>
        <w:t>5</w:t>
      </w:r>
      <w:r w:rsidRPr="00181EAB">
        <w:rPr>
          <w:rFonts w:ascii="Times New Roman" w:hAnsi="Times New Roman" w:cs="Times New Roman"/>
        </w:rPr>
        <w:t>. godini ima vrijednost 3, odnosno provodila su se ukupno 3 projekta</w:t>
      </w:r>
      <w:r w:rsidR="00DD37F2">
        <w:rPr>
          <w:rFonts w:ascii="Times New Roman" w:hAnsi="Times New Roman" w:cs="Times New Roman"/>
        </w:rPr>
        <w:t>/programa</w:t>
      </w:r>
      <w:r w:rsidRPr="00181EAB">
        <w:rPr>
          <w:rFonts w:ascii="Times New Roman" w:hAnsi="Times New Roman" w:cs="Times New Roman"/>
        </w:rPr>
        <w:t xml:space="preserve"> iz područja odgoja i obrazovanja. Drugi pokazatelj je </w:t>
      </w:r>
      <w:r w:rsidRPr="00B53B91">
        <w:rPr>
          <w:rFonts w:ascii="Times New Roman" w:hAnsi="Times New Roman" w:cs="Times New Roman"/>
          <w:i/>
        </w:rPr>
        <w:t>Broj pomoćnika/asistenata</w:t>
      </w:r>
      <w:r w:rsidRPr="00181EAB">
        <w:rPr>
          <w:rFonts w:ascii="Times New Roman" w:hAnsi="Times New Roman" w:cs="Times New Roman"/>
        </w:rPr>
        <w:t>, a odnosi se na osiguravanje pomoćnika u predškolskom i osnovnoškolskom odgoju i obrazovanju te je u 202</w:t>
      </w:r>
      <w:r w:rsidR="00466B2B">
        <w:rPr>
          <w:rFonts w:ascii="Times New Roman" w:hAnsi="Times New Roman" w:cs="Times New Roman"/>
        </w:rPr>
        <w:t>5</w:t>
      </w:r>
      <w:r w:rsidRPr="00181EAB">
        <w:rPr>
          <w:rFonts w:ascii="Times New Roman" w:hAnsi="Times New Roman" w:cs="Times New Roman"/>
        </w:rPr>
        <w:t>. godini osigurano financiranje troškova rad</w:t>
      </w:r>
      <w:r w:rsidR="0041613C">
        <w:rPr>
          <w:rFonts w:ascii="Times New Roman" w:hAnsi="Times New Roman" w:cs="Times New Roman"/>
        </w:rPr>
        <w:t>a za ukupno 3 pomoćnika/asisten</w:t>
      </w:r>
      <w:r w:rsidRPr="00181EAB">
        <w:rPr>
          <w:rFonts w:ascii="Times New Roman" w:hAnsi="Times New Roman" w:cs="Times New Roman"/>
        </w:rPr>
        <w:t>ta. Prema tome, navedeni pokazatelj bilježi povećanje u odnosu na 202</w:t>
      </w:r>
      <w:r w:rsidR="00466B2B">
        <w:rPr>
          <w:rFonts w:ascii="Times New Roman" w:hAnsi="Times New Roman" w:cs="Times New Roman"/>
        </w:rPr>
        <w:t>4</w:t>
      </w:r>
      <w:r w:rsidRPr="00181EAB">
        <w:rPr>
          <w:rFonts w:ascii="Times New Roman" w:hAnsi="Times New Roman" w:cs="Times New Roman"/>
        </w:rPr>
        <w:t xml:space="preserve">. godinu. </w:t>
      </w:r>
      <w:r w:rsidRPr="00B759BA">
        <w:rPr>
          <w:rFonts w:ascii="Times New Roman" w:hAnsi="Times New Roman" w:cs="Times New Roman"/>
        </w:rPr>
        <w:t xml:space="preserve">Izvršenje proračuna za </w:t>
      </w:r>
      <w:r w:rsidR="00A9041E">
        <w:rPr>
          <w:rFonts w:ascii="Times New Roman" w:hAnsi="Times New Roman" w:cs="Times New Roman"/>
        </w:rPr>
        <w:t>ovu</w:t>
      </w:r>
      <w:r w:rsidRPr="00B759BA">
        <w:rPr>
          <w:rFonts w:ascii="Times New Roman" w:hAnsi="Times New Roman" w:cs="Times New Roman"/>
        </w:rPr>
        <w:t xml:space="preserve"> mjeru iznosi </w:t>
      </w:r>
      <w:r w:rsidR="00B759BA" w:rsidRPr="00B759BA">
        <w:rPr>
          <w:rFonts w:ascii="Times New Roman" w:hAnsi="Times New Roman" w:cs="Times New Roman"/>
        </w:rPr>
        <w:t>1.</w:t>
      </w:r>
      <w:r w:rsidR="00466B2B">
        <w:rPr>
          <w:rFonts w:ascii="Times New Roman" w:hAnsi="Times New Roman" w:cs="Times New Roman"/>
        </w:rPr>
        <w:t>858.632,43</w:t>
      </w:r>
      <w:r w:rsidRPr="00B759BA">
        <w:rPr>
          <w:rFonts w:ascii="Times New Roman" w:hAnsi="Times New Roman" w:cs="Times New Roman"/>
        </w:rPr>
        <w:t xml:space="preserve"> €. </w:t>
      </w:r>
    </w:p>
    <w:p w14:paraId="7230E48C" w14:textId="49FA80C3" w:rsidR="00181EAB" w:rsidRDefault="00181EAB" w:rsidP="00181EA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1EAB">
        <w:rPr>
          <w:rFonts w:ascii="Times New Roman" w:hAnsi="Times New Roman" w:cs="Times New Roman"/>
        </w:rPr>
        <w:t xml:space="preserve">Druga mjera je </w:t>
      </w:r>
      <w:r w:rsidRPr="008B188A">
        <w:rPr>
          <w:rFonts w:ascii="Times New Roman" w:hAnsi="Times New Roman" w:cs="Times New Roman"/>
          <w:i/>
        </w:rPr>
        <w:t>M 1.4.4. Promicanje vrijednosti znanja (obrazovanja i usavršavanja) u zanimanja koja nedostaju</w:t>
      </w:r>
      <w:r w:rsidRPr="00181EAB">
        <w:rPr>
          <w:rFonts w:ascii="Times New Roman" w:hAnsi="Times New Roman" w:cs="Times New Roman"/>
        </w:rPr>
        <w:t>. Uz navedenu se mjeru veže aktivnost dodjele stipendija studentima u visokom obrazovanju, pa je</w:t>
      </w:r>
      <w:r w:rsidR="002F37B0">
        <w:rPr>
          <w:rFonts w:ascii="Times New Roman" w:hAnsi="Times New Roman" w:cs="Times New Roman"/>
        </w:rPr>
        <w:t xml:space="preserve"> u</w:t>
      </w:r>
      <w:r w:rsidRPr="00181EAB">
        <w:rPr>
          <w:rFonts w:ascii="Times New Roman" w:hAnsi="Times New Roman" w:cs="Times New Roman"/>
        </w:rPr>
        <w:t xml:space="preserve"> tijeku 202</w:t>
      </w:r>
      <w:r w:rsidR="00220A5F">
        <w:rPr>
          <w:rFonts w:ascii="Times New Roman" w:hAnsi="Times New Roman" w:cs="Times New Roman"/>
        </w:rPr>
        <w:t>5</w:t>
      </w:r>
      <w:r w:rsidRPr="00181EAB">
        <w:rPr>
          <w:rFonts w:ascii="Times New Roman" w:hAnsi="Times New Roman" w:cs="Times New Roman"/>
        </w:rPr>
        <w:t xml:space="preserve">. godine dodijeljeno ukupno 10 stipendija (u obliku studentskih kredita), što predstavlja </w:t>
      </w:r>
      <w:r w:rsidR="00220A5F">
        <w:rPr>
          <w:rFonts w:ascii="Times New Roman" w:hAnsi="Times New Roman" w:cs="Times New Roman"/>
        </w:rPr>
        <w:t>jednaki broj</w:t>
      </w:r>
      <w:r w:rsidRPr="00181EAB">
        <w:rPr>
          <w:rFonts w:ascii="Times New Roman" w:hAnsi="Times New Roman" w:cs="Times New Roman"/>
        </w:rPr>
        <w:t xml:space="preserve"> odnosu na vrijednost pokazatelja za 202</w:t>
      </w:r>
      <w:r w:rsidR="00220A5F">
        <w:rPr>
          <w:rFonts w:ascii="Times New Roman" w:hAnsi="Times New Roman" w:cs="Times New Roman"/>
        </w:rPr>
        <w:t>4</w:t>
      </w:r>
      <w:r w:rsidRPr="00181EAB">
        <w:rPr>
          <w:rFonts w:ascii="Times New Roman" w:hAnsi="Times New Roman" w:cs="Times New Roman"/>
        </w:rPr>
        <w:t>. godinu</w:t>
      </w:r>
      <w:r w:rsidRPr="004D0B92">
        <w:rPr>
          <w:rFonts w:ascii="Times New Roman" w:hAnsi="Times New Roman" w:cs="Times New Roman"/>
        </w:rPr>
        <w:t xml:space="preserve">. Izvršenje proračuna za tu mjeru iznosi </w:t>
      </w:r>
      <w:r w:rsidR="00220A5F">
        <w:rPr>
          <w:rFonts w:ascii="Times New Roman" w:hAnsi="Times New Roman" w:cs="Times New Roman"/>
        </w:rPr>
        <w:t>45.422,19</w:t>
      </w:r>
      <w:r w:rsidRPr="004D0B92">
        <w:rPr>
          <w:rFonts w:ascii="Times New Roman" w:hAnsi="Times New Roman" w:cs="Times New Roman"/>
        </w:rPr>
        <w:t xml:space="preserve"> €.  </w:t>
      </w:r>
    </w:p>
    <w:p w14:paraId="58BCC399" w14:textId="77777777" w:rsidR="00181EAB" w:rsidRDefault="00181EAB" w:rsidP="00181EAB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6" w:name="_Toc189816071"/>
      <w:r w:rsidRPr="00181EAB">
        <w:rPr>
          <w:rFonts w:ascii="Times New Roman" w:hAnsi="Times New Roman" w:cs="Times New Roman"/>
          <w:b/>
          <w:color w:val="auto"/>
          <w:sz w:val="25"/>
          <w:szCs w:val="25"/>
        </w:rPr>
        <w:t>PC 2.5: Učinkovita i dostupna zdravstvena i socijalna skrb</w:t>
      </w:r>
      <w:bookmarkEnd w:id="6"/>
    </w:p>
    <w:p w14:paraId="5CA89E6B" w14:textId="77777777" w:rsidR="00181EAB" w:rsidRDefault="00181EAB" w:rsidP="00181EAB"/>
    <w:p w14:paraId="4BD266E8" w14:textId="6A5C2922" w:rsidR="009735F8" w:rsidRDefault="00181EAB" w:rsidP="00181EA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81EAB">
        <w:rPr>
          <w:rFonts w:ascii="Times New Roman" w:hAnsi="Times New Roman" w:cs="Times New Roman"/>
        </w:rPr>
        <w:t xml:space="preserve">Unutar cilja </w:t>
      </w:r>
      <w:r w:rsidRPr="00C432C1">
        <w:rPr>
          <w:rFonts w:ascii="Times New Roman" w:hAnsi="Times New Roman" w:cs="Times New Roman"/>
          <w:i/>
        </w:rPr>
        <w:t>„Učinkovita i dostupna zdravstvena i socijalna skrb“</w:t>
      </w:r>
      <w:r w:rsidRPr="00181EAB">
        <w:rPr>
          <w:rFonts w:ascii="Times New Roman" w:hAnsi="Times New Roman" w:cs="Times New Roman"/>
        </w:rPr>
        <w:t xml:space="preserve"> definirane su dvije mjere. Prva mjera je </w:t>
      </w:r>
      <w:r w:rsidRPr="00C432C1">
        <w:rPr>
          <w:rFonts w:ascii="Times New Roman" w:hAnsi="Times New Roman" w:cs="Times New Roman"/>
          <w:i/>
        </w:rPr>
        <w:t>M 2.5.2. Modernizacija zdravstvene infrastrukture i unaprjeđenje kvalitete zdravstvene zaštite i skrbi</w:t>
      </w:r>
      <w:r w:rsidRPr="00181EAB">
        <w:rPr>
          <w:rFonts w:ascii="Times New Roman" w:hAnsi="Times New Roman" w:cs="Times New Roman"/>
        </w:rPr>
        <w:t xml:space="preserve">, dok je druga mjera </w:t>
      </w:r>
      <w:r w:rsidRPr="00C432C1">
        <w:rPr>
          <w:rFonts w:ascii="Times New Roman" w:hAnsi="Times New Roman" w:cs="Times New Roman"/>
          <w:i/>
        </w:rPr>
        <w:t>M 2.5.3. Unaprjeđenje kvalitete socijalnih usluga</w:t>
      </w:r>
      <w:r w:rsidRPr="00181EAB">
        <w:rPr>
          <w:rFonts w:ascii="Times New Roman" w:hAnsi="Times New Roman" w:cs="Times New Roman"/>
        </w:rPr>
        <w:t xml:space="preserve">. </w:t>
      </w:r>
      <w:r w:rsidRPr="001243B4">
        <w:rPr>
          <w:rFonts w:ascii="Times New Roman" w:hAnsi="Times New Roman" w:cs="Times New Roman"/>
        </w:rPr>
        <w:t>Za potrebe financiranja zdravstva i hitne službe na podru</w:t>
      </w:r>
      <w:r w:rsidR="001243B4" w:rsidRPr="001243B4">
        <w:rPr>
          <w:rFonts w:ascii="Times New Roman" w:hAnsi="Times New Roman" w:cs="Times New Roman"/>
        </w:rPr>
        <w:t xml:space="preserve">čju Grada ukupno je izdvojeno </w:t>
      </w:r>
      <w:r w:rsidR="00220A5F">
        <w:rPr>
          <w:rFonts w:ascii="Times New Roman" w:hAnsi="Times New Roman" w:cs="Times New Roman"/>
        </w:rPr>
        <w:t>1.460,00</w:t>
      </w:r>
      <w:r w:rsidRPr="001243B4">
        <w:rPr>
          <w:rFonts w:ascii="Times New Roman" w:hAnsi="Times New Roman" w:cs="Times New Roman"/>
        </w:rPr>
        <w:t xml:space="preserve"> €. </w:t>
      </w:r>
      <w:r w:rsidRPr="00181EAB">
        <w:rPr>
          <w:rFonts w:ascii="Times New Roman" w:hAnsi="Times New Roman" w:cs="Times New Roman"/>
        </w:rPr>
        <w:t>Tijekom 202</w:t>
      </w:r>
      <w:r w:rsidR="00220A5F">
        <w:rPr>
          <w:rFonts w:ascii="Times New Roman" w:hAnsi="Times New Roman" w:cs="Times New Roman"/>
        </w:rPr>
        <w:t>5</w:t>
      </w:r>
      <w:r w:rsidRPr="00181EAB">
        <w:rPr>
          <w:rFonts w:ascii="Times New Roman" w:hAnsi="Times New Roman" w:cs="Times New Roman"/>
        </w:rPr>
        <w:t xml:space="preserve">. godine broj hitnih intervencija hitne službe na području Grada bio je </w:t>
      </w:r>
      <w:r w:rsidR="00220A5F">
        <w:rPr>
          <w:rFonts w:ascii="Times New Roman" w:hAnsi="Times New Roman" w:cs="Times New Roman"/>
        </w:rPr>
        <w:t>612</w:t>
      </w:r>
      <w:r w:rsidRPr="00181EAB">
        <w:rPr>
          <w:rFonts w:ascii="Times New Roman" w:hAnsi="Times New Roman" w:cs="Times New Roman"/>
        </w:rPr>
        <w:t xml:space="preserve">. Razmatrajući </w:t>
      </w:r>
      <w:r w:rsidRPr="00761C67">
        <w:rPr>
          <w:rFonts w:ascii="Times New Roman" w:hAnsi="Times New Roman" w:cs="Times New Roman"/>
          <w:i/>
        </w:rPr>
        <w:t>Unaprjeđenje kvalitete socijalnih usluga</w:t>
      </w:r>
      <w:r w:rsidRPr="00181EAB">
        <w:rPr>
          <w:rFonts w:ascii="Times New Roman" w:hAnsi="Times New Roman" w:cs="Times New Roman"/>
        </w:rPr>
        <w:t xml:space="preserve">, može se istaknuti da je </w:t>
      </w:r>
      <w:r w:rsidRPr="00761C67">
        <w:rPr>
          <w:rFonts w:ascii="Times New Roman" w:hAnsi="Times New Roman" w:cs="Times New Roman"/>
          <w:i/>
        </w:rPr>
        <w:t>Broj korisnika socijalnih usluga</w:t>
      </w:r>
      <w:r w:rsidRPr="00181EAB">
        <w:rPr>
          <w:rFonts w:ascii="Times New Roman" w:hAnsi="Times New Roman" w:cs="Times New Roman"/>
        </w:rPr>
        <w:t xml:space="preserve"> </w:t>
      </w:r>
      <w:r w:rsidR="00220A5F">
        <w:rPr>
          <w:rFonts w:ascii="Times New Roman" w:hAnsi="Times New Roman" w:cs="Times New Roman"/>
        </w:rPr>
        <w:t>manji</w:t>
      </w:r>
      <w:r w:rsidRPr="00181EAB">
        <w:rPr>
          <w:rFonts w:ascii="Times New Roman" w:hAnsi="Times New Roman" w:cs="Times New Roman"/>
        </w:rPr>
        <w:t xml:space="preserve"> nego u 202</w:t>
      </w:r>
      <w:r w:rsidR="00220A5F">
        <w:rPr>
          <w:rFonts w:ascii="Times New Roman" w:hAnsi="Times New Roman" w:cs="Times New Roman"/>
        </w:rPr>
        <w:t>4</w:t>
      </w:r>
      <w:r w:rsidRPr="00181EAB">
        <w:rPr>
          <w:rFonts w:ascii="Times New Roman" w:hAnsi="Times New Roman" w:cs="Times New Roman"/>
        </w:rPr>
        <w:t xml:space="preserve">. godini te bilježi </w:t>
      </w:r>
      <w:r w:rsidR="00220A5F">
        <w:rPr>
          <w:rFonts w:ascii="Times New Roman" w:hAnsi="Times New Roman" w:cs="Times New Roman"/>
        </w:rPr>
        <w:t>80</w:t>
      </w:r>
      <w:r w:rsidRPr="00181EAB">
        <w:rPr>
          <w:rFonts w:ascii="Times New Roman" w:hAnsi="Times New Roman" w:cs="Times New Roman"/>
        </w:rPr>
        <w:t xml:space="preserve"> korisnika. Osim toga, tijekom 202</w:t>
      </w:r>
      <w:r w:rsidR="00220A5F">
        <w:rPr>
          <w:rFonts w:ascii="Times New Roman" w:hAnsi="Times New Roman" w:cs="Times New Roman"/>
        </w:rPr>
        <w:t>5</w:t>
      </w:r>
      <w:r w:rsidRPr="00181EAB">
        <w:rPr>
          <w:rFonts w:ascii="Times New Roman" w:hAnsi="Times New Roman" w:cs="Times New Roman"/>
        </w:rPr>
        <w:t>. godine Grad Mursko Središće u suradnji s Općinom Selnica i Općinom Mala Subotica provodio je projekt „Zaželi – pomoć je tu“, kojim je zaposleno ukupno 11 gerontodomaćica s ciljem pružanja usluge potpore i podrške u svakodnevnom životu osobama starijim od 65 godina i odraslim osobama s invaliditetom.</w:t>
      </w:r>
      <w:r w:rsidR="00EE3A46">
        <w:rPr>
          <w:rFonts w:ascii="Times New Roman" w:hAnsi="Times New Roman" w:cs="Times New Roman"/>
        </w:rPr>
        <w:t xml:space="preserve"> Isto tako, u suradnji sa Savezom udruga „Prvi korak“ osigurano je sufinanciranje </w:t>
      </w:r>
      <w:r w:rsidR="00EE3A46">
        <w:rPr>
          <w:rFonts w:ascii="Times New Roman" w:hAnsi="Times New Roman" w:cs="Times New Roman"/>
        </w:rPr>
        <w:lastRenderedPageBreak/>
        <w:t xml:space="preserve">troškova rada pomagača djeci s teškoćama u razvoju. </w:t>
      </w:r>
      <w:r w:rsidR="0086530F">
        <w:rPr>
          <w:rFonts w:ascii="Times New Roman" w:hAnsi="Times New Roman" w:cs="Times New Roman"/>
        </w:rPr>
        <w:t xml:space="preserve">Također, ostvarena je suradnja s </w:t>
      </w:r>
      <w:r w:rsidR="007801FB">
        <w:rPr>
          <w:rFonts w:ascii="Times New Roman" w:hAnsi="Times New Roman" w:cs="Times New Roman"/>
        </w:rPr>
        <w:t>Centrom</w:t>
      </w:r>
      <w:r w:rsidR="0086530F">
        <w:rPr>
          <w:rFonts w:ascii="Times New Roman" w:hAnsi="Times New Roman" w:cs="Times New Roman"/>
        </w:rPr>
        <w:t xml:space="preserve"> za ranu intervenciju u djetinjstvu</w:t>
      </w:r>
      <w:r w:rsidR="007801FB">
        <w:rPr>
          <w:rFonts w:ascii="Times New Roman" w:hAnsi="Times New Roman" w:cs="Times New Roman"/>
        </w:rPr>
        <w:t xml:space="preserve"> „MURID“</w:t>
      </w:r>
      <w:r w:rsidR="0086530F">
        <w:rPr>
          <w:rFonts w:ascii="Times New Roman" w:hAnsi="Times New Roman" w:cs="Times New Roman"/>
        </w:rPr>
        <w:t xml:space="preserve">. </w:t>
      </w:r>
      <w:r w:rsidRPr="00666BC8">
        <w:rPr>
          <w:rFonts w:ascii="Times New Roman" w:hAnsi="Times New Roman" w:cs="Times New Roman"/>
        </w:rPr>
        <w:t xml:space="preserve">Izvršenje proračuna za ovu mjeru iznosi </w:t>
      </w:r>
      <w:r w:rsidR="00220A5F">
        <w:rPr>
          <w:rFonts w:ascii="Times New Roman" w:hAnsi="Times New Roman" w:cs="Times New Roman"/>
        </w:rPr>
        <w:t>165.580,21</w:t>
      </w:r>
      <w:r w:rsidRPr="00666BC8">
        <w:rPr>
          <w:rFonts w:ascii="Times New Roman" w:hAnsi="Times New Roman" w:cs="Times New Roman"/>
        </w:rPr>
        <w:t xml:space="preserve"> €.</w:t>
      </w:r>
    </w:p>
    <w:p w14:paraId="61C2ABAB" w14:textId="77777777" w:rsidR="009735F8" w:rsidRDefault="009735F8" w:rsidP="009735F8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7" w:name="_Toc189816072"/>
      <w:r w:rsidRPr="009735F8">
        <w:rPr>
          <w:rFonts w:ascii="Times New Roman" w:hAnsi="Times New Roman" w:cs="Times New Roman"/>
          <w:b/>
          <w:color w:val="auto"/>
          <w:sz w:val="25"/>
          <w:szCs w:val="25"/>
        </w:rPr>
        <w:t>PC 2.6: Bogat i uključiv društveni život</w:t>
      </w:r>
      <w:bookmarkEnd w:id="7"/>
    </w:p>
    <w:p w14:paraId="0440B3B7" w14:textId="77777777" w:rsidR="004B08D6" w:rsidRDefault="004B08D6" w:rsidP="004B08D6"/>
    <w:p w14:paraId="413B18DF" w14:textId="7CF0E093" w:rsidR="004B08D6" w:rsidRPr="004B08D6" w:rsidRDefault="004B08D6" w:rsidP="004B08D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08D6">
        <w:rPr>
          <w:rFonts w:ascii="Times New Roman" w:hAnsi="Times New Roman" w:cs="Times New Roman"/>
        </w:rPr>
        <w:t xml:space="preserve">Cilj </w:t>
      </w:r>
      <w:r w:rsidRPr="0097052D">
        <w:rPr>
          <w:rFonts w:ascii="Times New Roman" w:hAnsi="Times New Roman" w:cs="Times New Roman"/>
          <w:i/>
        </w:rPr>
        <w:t>„Bogat i uključiv društveni život“</w:t>
      </w:r>
      <w:r w:rsidRPr="004B08D6">
        <w:rPr>
          <w:rFonts w:ascii="Times New Roman" w:hAnsi="Times New Roman" w:cs="Times New Roman"/>
        </w:rPr>
        <w:t xml:space="preserve"> sastoji se od pet mjera. Prva mjera je </w:t>
      </w:r>
      <w:r w:rsidRPr="0097052D">
        <w:rPr>
          <w:rFonts w:ascii="Times New Roman" w:hAnsi="Times New Roman" w:cs="Times New Roman"/>
          <w:i/>
        </w:rPr>
        <w:t>M 2.6.1. Poboljšanje dostupnosti i vidljivosti sportsko-rekreativnih sadržaja.</w:t>
      </w:r>
      <w:r w:rsidRPr="004B08D6">
        <w:rPr>
          <w:rFonts w:ascii="Times New Roman" w:hAnsi="Times New Roman" w:cs="Times New Roman"/>
        </w:rPr>
        <w:t xml:space="preserve"> Unutar navedene mjere razmatraju se dva pokazatelja – </w:t>
      </w:r>
      <w:r w:rsidRPr="0097052D">
        <w:rPr>
          <w:rFonts w:ascii="Times New Roman" w:hAnsi="Times New Roman" w:cs="Times New Roman"/>
          <w:i/>
        </w:rPr>
        <w:t>Broj organiziranih utrka</w:t>
      </w:r>
      <w:r w:rsidRPr="004B08D6">
        <w:rPr>
          <w:rFonts w:ascii="Times New Roman" w:hAnsi="Times New Roman" w:cs="Times New Roman"/>
        </w:rPr>
        <w:t xml:space="preserve"> i </w:t>
      </w:r>
      <w:r w:rsidRPr="0097052D">
        <w:rPr>
          <w:rFonts w:ascii="Times New Roman" w:hAnsi="Times New Roman" w:cs="Times New Roman"/>
          <w:i/>
        </w:rPr>
        <w:t>Broj korisnika javnih sportsko-rekreacijskih sadržaja</w:t>
      </w:r>
      <w:r w:rsidRPr="004B08D6">
        <w:rPr>
          <w:rFonts w:ascii="Times New Roman" w:hAnsi="Times New Roman" w:cs="Times New Roman"/>
        </w:rPr>
        <w:t xml:space="preserve">. Broj organiziranih utrka </w:t>
      </w:r>
      <w:r w:rsidR="00220A5F">
        <w:rPr>
          <w:rFonts w:ascii="Times New Roman" w:hAnsi="Times New Roman" w:cs="Times New Roman"/>
        </w:rPr>
        <w:t>veći je nego</w:t>
      </w:r>
      <w:r w:rsidRPr="004B08D6">
        <w:rPr>
          <w:rFonts w:ascii="Times New Roman" w:hAnsi="Times New Roman" w:cs="Times New Roman"/>
        </w:rPr>
        <w:t xml:space="preserve"> u 202</w:t>
      </w:r>
      <w:r w:rsidR="00220A5F">
        <w:rPr>
          <w:rFonts w:ascii="Times New Roman" w:hAnsi="Times New Roman" w:cs="Times New Roman"/>
        </w:rPr>
        <w:t>4</w:t>
      </w:r>
      <w:r w:rsidRPr="004B08D6">
        <w:rPr>
          <w:rFonts w:ascii="Times New Roman" w:hAnsi="Times New Roman" w:cs="Times New Roman"/>
        </w:rPr>
        <w:t>. godini</w:t>
      </w:r>
      <w:r w:rsidR="004A78C5">
        <w:rPr>
          <w:rFonts w:ascii="Times New Roman" w:hAnsi="Times New Roman" w:cs="Times New Roman"/>
        </w:rPr>
        <w:t xml:space="preserve"> te je ukupno održano </w:t>
      </w:r>
      <w:r w:rsidR="00220A5F">
        <w:rPr>
          <w:rFonts w:ascii="Times New Roman" w:hAnsi="Times New Roman" w:cs="Times New Roman"/>
        </w:rPr>
        <w:t>18</w:t>
      </w:r>
      <w:r w:rsidR="004A78C5">
        <w:rPr>
          <w:rFonts w:ascii="Times New Roman" w:hAnsi="Times New Roman" w:cs="Times New Roman"/>
        </w:rPr>
        <w:t xml:space="preserve"> utrka</w:t>
      </w:r>
      <w:r w:rsidRPr="004B08D6">
        <w:rPr>
          <w:rFonts w:ascii="Times New Roman" w:hAnsi="Times New Roman" w:cs="Times New Roman"/>
        </w:rPr>
        <w:t xml:space="preserve">, dok je broj korisnika javnih sportsko-rekreacijskih sadržaja </w:t>
      </w:r>
      <w:r w:rsidR="00220A5F">
        <w:rPr>
          <w:rFonts w:ascii="Times New Roman" w:hAnsi="Times New Roman" w:cs="Times New Roman"/>
        </w:rPr>
        <w:t xml:space="preserve">jednaki kao i u </w:t>
      </w:r>
      <w:r w:rsidRPr="004B08D6">
        <w:rPr>
          <w:rFonts w:ascii="Times New Roman" w:hAnsi="Times New Roman" w:cs="Times New Roman"/>
        </w:rPr>
        <w:t xml:space="preserve"> 202</w:t>
      </w:r>
      <w:r w:rsidR="00220A5F">
        <w:rPr>
          <w:rFonts w:ascii="Times New Roman" w:hAnsi="Times New Roman" w:cs="Times New Roman"/>
        </w:rPr>
        <w:t>5</w:t>
      </w:r>
      <w:r w:rsidRPr="004B08D6">
        <w:rPr>
          <w:rFonts w:ascii="Times New Roman" w:hAnsi="Times New Roman" w:cs="Times New Roman"/>
        </w:rPr>
        <w:t xml:space="preserve">. </w:t>
      </w:r>
      <w:r w:rsidRPr="005A64E3">
        <w:rPr>
          <w:rFonts w:ascii="Times New Roman" w:hAnsi="Times New Roman" w:cs="Times New Roman"/>
        </w:rPr>
        <w:t>godini</w:t>
      </w:r>
      <w:r w:rsidR="001F0BC6">
        <w:rPr>
          <w:rFonts w:ascii="Times New Roman" w:hAnsi="Times New Roman" w:cs="Times New Roman"/>
        </w:rPr>
        <w:t xml:space="preserve"> te je njegova vrijednost jednaka 920</w:t>
      </w:r>
      <w:r w:rsidRPr="005A64E3">
        <w:rPr>
          <w:rFonts w:ascii="Times New Roman" w:hAnsi="Times New Roman" w:cs="Times New Roman"/>
        </w:rPr>
        <w:t xml:space="preserve">. Ukupan iznos utrošen za potrebe organizacije utrka i financiranje sportskih i rekreacijskih udruga na području Grada jednak je </w:t>
      </w:r>
      <w:r w:rsidR="00220A5F">
        <w:rPr>
          <w:rFonts w:ascii="Times New Roman" w:hAnsi="Times New Roman" w:cs="Times New Roman"/>
        </w:rPr>
        <w:t>1.300,00</w:t>
      </w:r>
      <w:r w:rsidRPr="005A64E3">
        <w:rPr>
          <w:rFonts w:ascii="Times New Roman" w:hAnsi="Times New Roman" w:cs="Times New Roman"/>
        </w:rPr>
        <w:t xml:space="preserve"> €. </w:t>
      </w:r>
    </w:p>
    <w:p w14:paraId="1335EEFE" w14:textId="32D5887C" w:rsidR="004B08D6" w:rsidRPr="00DA6438" w:rsidRDefault="004B08D6" w:rsidP="004B08D6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4B08D6">
        <w:rPr>
          <w:rFonts w:ascii="Times New Roman" w:hAnsi="Times New Roman" w:cs="Times New Roman"/>
        </w:rPr>
        <w:t xml:space="preserve">Druga mjera je </w:t>
      </w:r>
      <w:r w:rsidRPr="00DA6438">
        <w:rPr>
          <w:rFonts w:ascii="Times New Roman" w:hAnsi="Times New Roman" w:cs="Times New Roman"/>
          <w:i/>
        </w:rPr>
        <w:t>M 2.6.2. Razvoj sportske infrastrukture</w:t>
      </w:r>
      <w:r w:rsidRPr="004B08D6">
        <w:rPr>
          <w:rFonts w:ascii="Times New Roman" w:hAnsi="Times New Roman" w:cs="Times New Roman"/>
        </w:rPr>
        <w:t xml:space="preserve">. Razmatrajući navedenu mjeru može se istaknuti da je vrijednost pokazatelja </w:t>
      </w:r>
      <w:r w:rsidRPr="00DA6438">
        <w:rPr>
          <w:rFonts w:ascii="Times New Roman" w:hAnsi="Times New Roman" w:cs="Times New Roman"/>
          <w:i/>
        </w:rPr>
        <w:t>Broj provedenih energetskih obnova</w:t>
      </w:r>
      <w:r w:rsidRPr="004B08D6">
        <w:rPr>
          <w:rFonts w:ascii="Times New Roman" w:hAnsi="Times New Roman" w:cs="Times New Roman"/>
        </w:rPr>
        <w:t xml:space="preserve"> jednaka </w:t>
      </w:r>
      <w:r w:rsidR="00220A5F">
        <w:rPr>
          <w:rFonts w:ascii="Times New Roman" w:hAnsi="Times New Roman" w:cs="Times New Roman"/>
        </w:rPr>
        <w:t>1</w:t>
      </w:r>
      <w:r w:rsidRPr="004B08D6">
        <w:rPr>
          <w:rFonts w:ascii="Times New Roman" w:hAnsi="Times New Roman" w:cs="Times New Roman"/>
        </w:rPr>
        <w:t>. Tijekom 202</w:t>
      </w:r>
      <w:r w:rsidR="00220A5F">
        <w:rPr>
          <w:rFonts w:ascii="Times New Roman" w:hAnsi="Times New Roman" w:cs="Times New Roman"/>
        </w:rPr>
        <w:t>5</w:t>
      </w:r>
      <w:r w:rsidRPr="004B08D6">
        <w:rPr>
          <w:rFonts w:ascii="Times New Roman" w:hAnsi="Times New Roman" w:cs="Times New Roman"/>
        </w:rPr>
        <w:t xml:space="preserve">. godine </w:t>
      </w:r>
      <w:r w:rsidR="00220A5F">
        <w:rPr>
          <w:rFonts w:ascii="Times New Roman" w:hAnsi="Times New Roman" w:cs="Times New Roman"/>
        </w:rPr>
        <w:t>izgrađena su dva dječja igrališta. Jedno kod NK Rudar, a drugu u Dječjem vrtiću Maslačak Mursko Središće</w:t>
      </w:r>
      <w:r w:rsidRPr="004B08D6">
        <w:rPr>
          <w:rFonts w:ascii="Times New Roman" w:hAnsi="Times New Roman" w:cs="Times New Roman"/>
        </w:rPr>
        <w:t xml:space="preserve">. </w:t>
      </w:r>
      <w:r w:rsidRPr="00F3354F">
        <w:rPr>
          <w:rFonts w:ascii="Times New Roman" w:hAnsi="Times New Roman" w:cs="Times New Roman"/>
        </w:rPr>
        <w:t xml:space="preserve">Izvršenje proračuna za drugu mjeru iznosi </w:t>
      </w:r>
      <w:r w:rsidR="00220A5F">
        <w:rPr>
          <w:rFonts w:ascii="Times New Roman" w:hAnsi="Times New Roman" w:cs="Times New Roman"/>
        </w:rPr>
        <w:t>10.829,96</w:t>
      </w:r>
      <w:r w:rsidRPr="00F3354F">
        <w:rPr>
          <w:rFonts w:ascii="Times New Roman" w:hAnsi="Times New Roman" w:cs="Times New Roman"/>
        </w:rPr>
        <w:t xml:space="preserve"> €.</w:t>
      </w:r>
    </w:p>
    <w:p w14:paraId="171E40CC" w14:textId="5222C14D" w:rsidR="004B08D6" w:rsidRPr="004B08D6" w:rsidRDefault="004B08D6" w:rsidP="004B08D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08D6">
        <w:rPr>
          <w:rFonts w:ascii="Times New Roman" w:hAnsi="Times New Roman" w:cs="Times New Roman"/>
        </w:rPr>
        <w:t xml:space="preserve">Treća mjera je </w:t>
      </w:r>
      <w:r w:rsidRPr="00334318">
        <w:rPr>
          <w:rFonts w:ascii="Times New Roman" w:hAnsi="Times New Roman" w:cs="Times New Roman"/>
          <w:i/>
        </w:rPr>
        <w:t>M 2.6.3. Promicanje kulturnih i kreativnih industrija s naglaskom na uključivanje mladih</w:t>
      </w:r>
      <w:r w:rsidRPr="004B08D6">
        <w:rPr>
          <w:rFonts w:ascii="Times New Roman" w:hAnsi="Times New Roman" w:cs="Times New Roman"/>
        </w:rPr>
        <w:t xml:space="preserve">. Navedena </w:t>
      </w:r>
      <w:r w:rsidRPr="00655DEF">
        <w:rPr>
          <w:rFonts w:ascii="Times New Roman" w:hAnsi="Times New Roman" w:cs="Times New Roman"/>
        </w:rPr>
        <w:t xml:space="preserve">se mjera odnosi na financiranje obavljanja redovne djelatnosti Gradske knjižnice i čitaonice Mursko Središće. Izvršenje proračuna za ovu mjeru iznosi </w:t>
      </w:r>
      <w:r w:rsidR="00220A5F">
        <w:rPr>
          <w:rFonts w:ascii="Times New Roman" w:hAnsi="Times New Roman" w:cs="Times New Roman"/>
        </w:rPr>
        <w:t>52.283,84</w:t>
      </w:r>
      <w:r w:rsidRPr="00655DEF">
        <w:rPr>
          <w:rFonts w:ascii="Times New Roman" w:hAnsi="Times New Roman" w:cs="Times New Roman"/>
        </w:rPr>
        <w:t xml:space="preserve"> €. </w:t>
      </w:r>
    </w:p>
    <w:p w14:paraId="7EA88043" w14:textId="6829150E" w:rsidR="004B08D6" w:rsidRPr="00334318" w:rsidRDefault="004B08D6" w:rsidP="004B08D6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4B08D6">
        <w:rPr>
          <w:rFonts w:ascii="Times New Roman" w:hAnsi="Times New Roman" w:cs="Times New Roman"/>
        </w:rPr>
        <w:t xml:space="preserve">Četvrta mjera je </w:t>
      </w:r>
      <w:r w:rsidRPr="00334318">
        <w:rPr>
          <w:rFonts w:ascii="Times New Roman" w:hAnsi="Times New Roman" w:cs="Times New Roman"/>
          <w:i/>
        </w:rPr>
        <w:t>M 2.6.4. Zaštita, očuvanje, valorizacija i revitalizacija kulturne i povijesne zaštite</w:t>
      </w:r>
      <w:r w:rsidRPr="004B08D6">
        <w:rPr>
          <w:rFonts w:ascii="Times New Roman" w:hAnsi="Times New Roman" w:cs="Times New Roman"/>
        </w:rPr>
        <w:t>. Unutar ove mjere predviđene su aktivnosti rekonstrukcije Etno kuće i iz</w:t>
      </w:r>
      <w:r w:rsidR="00334318">
        <w:rPr>
          <w:rFonts w:ascii="Times New Roman" w:hAnsi="Times New Roman" w:cs="Times New Roman"/>
        </w:rPr>
        <w:t xml:space="preserve">gradnje multimedijalnih centara, a definirana su </w:t>
      </w:r>
      <w:r w:rsidRPr="004B08D6">
        <w:rPr>
          <w:rFonts w:ascii="Times New Roman" w:hAnsi="Times New Roman" w:cs="Times New Roman"/>
        </w:rPr>
        <w:t xml:space="preserve">dva pokazatelja – </w:t>
      </w:r>
      <w:r w:rsidRPr="00334318">
        <w:rPr>
          <w:rFonts w:ascii="Times New Roman" w:hAnsi="Times New Roman" w:cs="Times New Roman"/>
          <w:i/>
        </w:rPr>
        <w:t>Broj provedenih rekonstrukcija</w:t>
      </w:r>
      <w:r w:rsidRPr="004B08D6">
        <w:rPr>
          <w:rFonts w:ascii="Times New Roman" w:hAnsi="Times New Roman" w:cs="Times New Roman"/>
        </w:rPr>
        <w:t xml:space="preserve"> i </w:t>
      </w:r>
      <w:r w:rsidRPr="00334318">
        <w:rPr>
          <w:rFonts w:ascii="Times New Roman" w:hAnsi="Times New Roman" w:cs="Times New Roman"/>
          <w:i/>
        </w:rPr>
        <w:t>Broj izgrađenih multimedijalnih centara</w:t>
      </w:r>
      <w:r w:rsidRPr="004B08D6">
        <w:rPr>
          <w:rFonts w:ascii="Times New Roman" w:hAnsi="Times New Roman" w:cs="Times New Roman"/>
        </w:rPr>
        <w:t>. Oba navedena pokazatelja u 202</w:t>
      </w:r>
      <w:r w:rsidR="00220A5F">
        <w:rPr>
          <w:rFonts w:ascii="Times New Roman" w:hAnsi="Times New Roman" w:cs="Times New Roman"/>
        </w:rPr>
        <w:t>5</w:t>
      </w:r>
      <w:r w:rsidRPr="004B08D6">
        <w:rPr>
          <w:rFonts w:ascii="Times New Roman" w:hAnsi="Times New Roman" w:cs="Times New Roman"/>
        </w:rPr>
        <w:t xml:space="preserve">. godini imaju vrijednost </w:t>
      </w:r>
      <w:r w:rsidR="00220A5F">
        <w:rPr>
          <w:rFonts w:ascii="Times New Roman" w:hAnsi="Times New Roman" w:cs="Times New Roman"/>
        </w:rPr>
        <w:t>0</w:t>
      </w:r>
      <w:r w:rsidRPr="004B08D6">
        <w:rPr>
          <w:rFonts w:ascii="Times New Roman" w:hAnsi="Times New Roman" w:cs="Times New Roman"/>
        </w:rPr>
        <w:t xml:space="preserve">. </w:t>
      </w:r>
    </w:p>
    <w:p w14:paraId="214D8659" w14:textId="77777777" w:rsidR="004B08D6" w:rsidRDefault="004B08D6" w:rsidP="004B08D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B08D6">
        <w:rPr>
          <w:rFonts w:ascii="Times New Roman" w:hAnsi="Times New Roman" w:cs="Times New Roman"/>
        </w:rPr>
        <w:t xml:space="preserve">Peta mjera je </w:t>
      </w:r>
      <w:r w:rsidRPr="005C125B">
        <w:rPr>
          <w:rFonts w:ascii="Times New Roman" w:hAnsi="Times New Roman" w:cs="Times New Roman"/>
          <w:i/>
        </w:rPr>
        <w:t>M 2.6.5. Uključivanje ranjivih skupina u društveni život</w:t>
      </w:r>
      <w:r w:rsidRPr="004B08D6">
        <w:rPr>
          <w:rFonts w:ascii="Times New Roman" w:hAnsi="Times New Roman" w:cs="Times New Roman"/>
        </w:rPr>
        <w:t>. Unutar ove mjere predviđena je aktivnost provedbe projekta „Centar raDOSTI“, čiji je cilj bio omogućiti osnaživanje kvalitete života zajednice, radno okupacijskih, psihofizičkih, kreativnih vještina, te potaknuti razvoj društvenih i socijalnih aktivnosti stanovnika projektnog područja. Provedba navedenog projekta završena je u svibnju 202</w:t>
      </w:r>
      <w:r w:rsidR="005C125B">
        <w:rPr>
          <w:rFonts w:ascii="Times New Roman" w:hAnsi="Times New Roman" w:cs="Times New Roman"/>
        </w:rPr>
        <w:t>2</w:t>
      </w:r>
      <w:r w:rsidRPr="004B08D6">
        <w:rPr>
          <w:rFonts w:ascii="Times New Roman" w:hAnsi="Times New Roman" w:cs="Times New Roman"/>
        </w:rPr>
        <w:t xml:space="preserve">. godine.  </w:t>
      </w:r>
    </w:p>
    <w:p w14:paraId="3627CF7C" w14:textId="77777777" w:rsidR="00897E14" w:rsidRDefault="00897E14" w:rsidP="00897E14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8" w:name="_Toc189816073"/>
      <w:r w:rsidRPr="00897E14">
        <w:rPr>
          <w:rFonts w:ascii="Times New Roman" w:hAnsi="Times New Roman" w:cs="Times New Roman"/>
          <w:b/>
          <w:color w:val="auto"/>
          <w:sz w:val="25"/>
          <w:szCs w:val="25"/>
        </w:rPr>
        <w:t>PC 2.7: Unaprijeđen sustav upravljanja rizicima</w:t>
      </w:r>
      <w:bookmarkEnd w:id="8"/>
    </w:p>
    <w:p w14:paraId="304FA901" w14:textId="77777777" w:rsidR="00897E14" w:rsidRDefault="00897E14" w:rsidP="00897E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B1366D9" w14:textId="72AD2D59" w:rsidR="00897E14" w:rsidRDefault="00897E14" w:rsidP="00897E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7E14">
        <w:rPr>
          <w:rFonts w:ascii="Times New Roman" w:hAnsi="Times New Roman" w:cs="Times New Roman"/>
        </w:rPr>
        <w:t xml:space="preserve">Unutar cilja </w:t>
      </w:r>
      <w:r w:rsidRPr="00D61038">
        <w:rPr>
          <w:rFonts w:ascii="Times New Roman" w:hAnsi="Times New Roman" w:cs="Times New Roman"/>
          <w:i/>
        </w:rPr>
        <w:t>„Unaprijeđen sustav upravljanja rizicima“</w:t>
      </w:r>
      <w:r w:rsidRPr="00897E14">
        <w:rPr>
          <w:rFonts w:ascii="Times New Roman" w:hAnsi="Times New Roman" w:cs="Times New Roman"/>
        </w:rPr>
        <w:t xml:space="preserve"> definirana je mjera </w:t>
      </w:r>
      <w:r w:rsidRPr="00D61038">
        <w:rPr>
          <w:rFonts w:ascii="Times New Roman" w:hAnsi="Times New Roman" w:cs="Times New Roman"/>
          <w:i/>
        </w:rPr>
        <w:t>M 2.7.1. Učinkovita civilna zaštita</w:t>
      </w:r>
      <w:r w:rsidRPr="00897E14">
        <w:rPr>
          <w:rFonts w:ascii="Times New Roman" w:hAnsi="Times New Roman" w:cs="Times New Roman"/>
        </w:rPr>
        <w:t xml:space="preserve">. Za navedenu mjeru promatra se </w:t>
      </w:r>
      <w:r w:rsidRPr="00D61038">
        <w:rPr>
          <w:rFonts w:ascii="Times New Roman" w:hAnsi="Times New Roman" w:cs="Times New Roman"/>
          <w:i/>
        </w:rPr>
        <w:t>Broj intervencija zaštite i spašavanja</w:t>
      </w:r>
      <w:r w:rsidRPr="00897E14">
        <w:rPr>
          <w:rFonts w:ascii="Times New Roman" w:hAnsi="Times New Roman" w:cs="Times New Roman"/>
        </w:rPr>
        <w:t xml:space="preserve"> te </w:t>
      </w:r>
      <w:r w:rsidRPr="00D61038">
        <w:rPr>
          <w:rFonts w:ascii="Times New Roman" w:hAnsi="Times New Roman" w:cs="Times New Roman"/>
          <w:i/>
        </w:rPr>
        <w:t>Broj osposobljenih članova dobrovoljnih vatrogasnih društava</w:t>
      </w:r>
      <w:r w:rsidRPr="00897E14">
        <w:rPr>
          <w:rFonts w:ascii="Times New Roman" w:hAnsi="Times New Roman" w:cs="Times New Roman"/>
        </w:rPr>
        <w:t>. Tijekom 202</w:t>
      </w:r>
      <w:r w:rsidR="00220A5F">
        <w:rPr>
          <w:rFonts w:ascii="Times New Roman" w:hAnsi="Times New Roman" w:cs="Times New Roman"/>
        </w:rPr>
        <w:t>5</w:t>
      </w:r>
      <w:r w:rsidRPr="00897E14">
        <w:rPr>
          <w:rFonts w:ascii="Times New Roman" w:hAnsi="Times New Roman" w:cs="Times New Roman"/>
        </w:rPr>
        <w:t>. godine proveden</w:t>
      </w:r>
      <w:r w:rsidR="00220A5F">
        <w:rPr>
          <w:rFonts w:ascii="Times New Roman" w:hAnsi="Times New Roman" w:cs="Times New Roman"/>
        </w:rPr>
        <w:t>o</w:t>
      </w:r>
      <w:r w:rsidRPr="00897E14">
        <w:rPr>
          <w:rFonts w:ascii="Times New Roman" w:hAnsi="Times New Roman" w:cs="Times New Roman"/>
        </w:rPr>
        <w:t xml:space="preserve"> </w:t>
      </w:r>
      <w:r w:rsidR="00220A5F">
        <w:rPr>
          <w:rFonts w:ascii="Times New Roman" w:hAnsi="Times New Roman" w:cs="Times New Roman"/>
        </w:rPr>
        <w:t>je</w:t>
      </w:r>
      <w:r w:rsidRPr="00897E14">
        <w:rPr>
          <w:rFonts w:ascii="Times New Roman" w:hAnsi="Times New Roman" w:cs="Times New Roman"/>
        </w:rPr>
        <w:t xml:space="preserve"> 6</w:t>
      </w:r>
      <w:r w:rsidR="00220A5F">
        <w:rPr>
          <w:rFonts w:ascii="Times New Roman" w:hAnsi="Times New Roman" w:cs="Times New Roman"/>
        </w:rPr>
        <w:t>8</w:t>
      </w:r>
      <w:r w:rsidRPr="00897E14">
        <w:rPr>
          <w:rFonts w:ascii="Times New Roman" w:hAnsi="Times New Roman" w:cs="Times New Roman"/>
        </w:rPr>
        <w:t xml:space="preserve"> intervencij</w:t>
      </w:r>
      <w:r w:rsidR="00220A5F">
        <w:rPr>
          <w:rFonts w:ascii="Times New Roman" w:hAnsi="Times New Roman" w:cs="Times New Roman"/>
        </w:rPr>
        <w:t>a</w:t>
      </w:r>
      <w:r w:rsidRPr="00897E14">
        <w:rPr>
          <w:rFonts w:ascii="Times New Roman" w:hAnsi="Times New Roman" w:cs="Times New Roman"/>
        </w:rPr>
        <w:t xml:space="preserve"> zaštite i spašavanja, a</w:t>
      </w:r>
      <w:r w:rsidR="00A969DD">
        <w:rPr>
          <w:rFonts w:ascii="Times New Roman" w:hAnsi="Times New Roman" w:cs="Times New Roman"/>
        </w:rPr>
        <w:t xml:space="preserve"> osposobljeno je ukupno 83 članova</w:t>
      </w:r>
      <w:r w:rsidRPr="00897E14">
        <w:rPr>
          <w:rFonts w:ascii="Times New Roman" w:hAnsi="Times New Roman" w:cs="Times New Roman"/>
        </w:rPr>
        <w:t xml:space="preserve"> dobrovoljnih vatrogasnih društava. </w:t>
      </w:r>
      <w:r w:rsidRPr="00506D4F">
        <w:rPr>
          <w:rFonts w:ascii="Times New Roman" w:hAnsi="Times New Roman" w:cs="Times New Roman"/>
        </w:rPr>
        <w:t xml:space="preserve">Izvršenje proračuna za ovu mjeru iznosi </w:t>
      </w:r>
      <w:r w:rsidR="00220A5F">
        <w:rPr>
          <w:rFonts w:ascii="Times New Roman" w:hAnsi="Times New Roman" w:cs="Times New Roman"/>
        </w:rPr>
        <w:t>78.751,99</w:t>
      </w:r>
      <w:r w:rsidRPr="00506D4F">
        <w:rPr>
          <w:rFonts w:ascii="Times New Roman" w:hAnsi="Times New Roman" w:cs="Times New Roman"/>
        </w:rPr>
        <w:t xml:space="preserve"> €.</w:t>
      </w:r>
    </w:p>
    <w:p w14:paraId="74B07EB1" w14:textId="77777777" w:rsidR="00220A5F" w:rsidRPr="00C87DC9" w:rsidRDefault="00220A5F" w:rsidP="00897E1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325D8AB8" w14:textId="77777777" w:rsidR="00897E14" w:rsidRDefault="00D824EB" w:rsidP="00D824EB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9" w:name="_Toc189816074"/>
      <w:r w:rsidRPr="00D824EB">
        <w:rPr>
          <w:rFonts w:ascii="Times New Roman" w:hAnsi="Times New Roman" w:cs="Times New Roman"/>
          <w:b/>
          <w:color w:val="auto"/>
          <w:sz w:val="25"/>
          <w:szCs w:val="25"/>
        </w:rPr>
        <w:lastRenderedPageBreak/>
        <w:t>PC 2.8: Dobro upravljanje u javnom sektoru</w:t>
      </w:r>
      <w:bookmarkEnd w:id="9"/>
      <w:r w:rsidRPr="00D824EB">
        <w:rPr>
          <w:rFonts w:ascii="Times New Roman" w:hAnsi="Times New Roman" w:cs="Times New Roman"/>
          <w:b/>
          <w:color w:val="auto"/>
          <w:sz w:val="25"/>
          <w:szCs w:val="25"/>
        </w:rPr>
        <w:t xml:space="preserve"> </w:t>
      </w:r>
    </w:p>
    <w:p w14:paraId="499F804C" w14:textId="77777777" w:rsidR="00D824EB" w:rsidRDefault="00D824EB" w:rsidP="00D824EB"/>
    <w:p w14:paraId="0709BA15" w14:textId="0265212A" w:rsidR="00D824EB" w:rsidRPr="0033304B" w:rsidRDefault="00D824EB" w:rsidP="00D824E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824EB">
        <w:rPr>
          <w:rFonts w:ascii="Times New Roman" w:hAnsi="Times New Roman" w:cs="Times New Roman"/>
        </w:rPr>
        <w:t xml:space="preserve">Cilj </w:t>
      </w:r>
      <w:r w:rsidRPr="00E67AB2">
        <w:rPr>
          <w:rFonts w:ascii="Times New Roman" w:hAnsi="Times New Roman" w:cs="Times New Roman"/>
          <w:i/>
        </w:rPr>
        <w:t>„Dobro upravljanje u javnom sektoru“</w:t>
      </w:r>
      <w:r w:rsidRPr="00D824EB">
        <w:rPr>
          <w:rFonts w:ascii="Times New Roman" w:hAnsi="Times New Roman" w:cs="Times New Roman"/>
        </w:rPr>
        <w:t xml:space="preserve"> sastoji se od dvije mjere. Prva mjera je </w:t>
      </w:r>
      <w:r w:rsidRPr="00E67AB2">
        <w:rPr>
          <w:rFonts w:ascii="Times New Roman" w:hAnsi="Times New Roman" w:cs="Times New Roman"/>
          <w:i/>
        </w:rPr>
        <w:t>M 2.8.1. Povećanje učinkovitosti javne uprave</w:t>
      </w:r>
      <w:r w:rsidRPr="00D824EB">
        <w:rPr>
          <w:rFonts w:ascii="Times New Roman" w:hAnsi="Times New Roman" w:cs="Times New Roman"/>
        </w:rPr>
        <w:t>, a odnosi se na educiranje zaposlenika JLS, provođenje projekata JLS financiranih iz drugih izvora financiranja (EU, nacionalni i ostali), kao i projekta/programa/potpora financiranih iz vlastitog proračuna. Tijekom 202</w:t>
      </w:r>
      <w:r w:rsidR="00220A5F">
        <w:rPr>
          <w:rFonts w:ascii="Times New Roman" w:hAnsi="Times New Roman" w:cs="Times New Roman"/>
        </w:rPr>
        <w:t>5</w:t>
      </w:r>
      <w:r w:rsidRPr="00D824EB">
        <w:rPr>
          <w:rFonts w:ascii="Times New Roman" w:hAnsi="Times New Roman" w:cs="Times New Roman"/>
        </w:rPr>
        <w:t>. godine</w:t>
      </w:r>
      <w:r w:rsidR="00123FF6">
        <w:rPr>
          <w:rFonts w:ascii="Times New Roman" w:hAnsi="Times New Roman" w:cs="Times New Roman"/>
        </w:rPr>
        <w:t xml:space="preserve"> pokazatelj </w:t>
      </w:r>
      <w:r w:rsidR="00123FF6" w:rsidRPr="00123FF6">
        <w:rPr>
          <w:rFonts w:ascii="Times New Roman" w:hAnsi="Times New Roman" w:cs="Times New Roman"/>
          <w:i/>
        </w:rPr>
        <w:t>Broj educiranih</w:t>
      </w:r>
      <w:r w:rsidRPr="00123FF6">
        <w:rPr>
          <w:rFonts w:ascii="Times New Roman" w:hAnsi="Times New Roman" w:cs="Times New Roman"/>
          <w:i/>
        </w:rPr>
        <w:t xml:space="preserve"> zaposlenika JLS</w:t>
      </w:r>
      <w:r w:rsidRPr="00D824EB">
        <w:rPr>
          <w:rFonts w:ascii="Times New Roman" w:hAnsi="Times New Roman" w:cs="Times New Roman"/>
        </w:rPr>
        <w:t xml:space="preserve"> </w:t>
      </w:r>
      <w:r w:rsidR="00123FF6">
        <w:rPr>
          <w:rFonts w:ascii="Times New Roman" w:hAnsi="Times New Roman" w:cs="Times New Roman"/>
        </w:rPr>
        <w:t xml:space="preserve">imao </w:t>
      </w:r>
      <w:r w:rsidRPr="00D824EB">
        <w:rPr>
          <w:rFonts w:ascii="Times New Roman" w:hAnsi="Times New Roman" w:cs="Times New Roman"/>
        </w:rPr>
        <w:t xml:space="preserve"> je </w:t>
      </w:r>
      <w:r w:rsidR="00123FF6">
        <w:rPr>
          <w:rFonts w:ascii="Times New Roman" w:hAnsi="Times New Roman" w:cs="Times New Roman"/>
        </w:rPr>
        <w:t xml:space="preserve">vrijednost </w:t>
      </w:r>
      <w:r w:rsidRPr="00D824EB">
        <w:rPr>
          <w:rFonts w:ascii="Times New Roman" w:hAnsi="Times New Roman" w:cs="Times New Roman"/>
        </w:rPr>
        <w:t>1</w:t>
      </w:r>
      <w:r w:rsidR="00EA302D">
        <w:rPr>
          <w:rFonts w:ascii="Times New Roman" w:hAnsi="Times New Roman" w:cs="Times New Roman"/>
        </w:rPr>
        <w:t>5</w:t>
      </w:r>
      <w:r w:rsidRPr="00D824EB">
        <w:rPr>
          <w:rFonts w:ascii="Times New Roman" w:hAnsi="Times New Roman" w:cs="Times New Roman"/>
        </w:rPr>
        <w:t>. Što se tiče projekata koje je Grad Mursko Središće provodio tijekom 202</w:t>
      </w:r>
      <w:r w:rsidR="00EA302D">
        <w:rPr>
          <w:rFonts w:ascii="Times New Roman" w:hAnsi="Times New Roman" w:cs="Times New Roman"/>
        </w:rPr>
        <w:t>5</w:t>
      </w:r>
      <w:r w:rsidRPr="00D824EB">
        <w:rPr>
          <w:rFonts w:ascii="Times New Roman" w:hAnsi="Times New Roman" w:cs="Times New Roman"/>
        </w:rPr>
        <w:t>. godine, njih 14 financiralo se iz drugih izvora financiranja, a 1</w:t>
      </w:r>
      <w:r w:rsidR="00EA302D">
        <w:rPr>
          <w:rFonts w:ascii="Times New Roman" w:hAnsi="Times New Roman" w:cs="Times New Roman"/>
        </w:rPr>
        <w:t>5</w:t>
      </w:r>
      <w:r w:rsidRPr="00D824EB">
        <w:rPr>
          <w:rFonts w:ascii="Times New Roman" w:hAnsi="Times New Roman" w:cs="Times New Roman"/>
        </w:rPr>
        <w:t xml:space="preserve"> ih je financirano iz vlastitog proračuna. </w:t>
      </w:r>
      <w:r w:rsidRPr="004B1F94">
        <w:rPr>
          <w:rFonts w:ascii="Times New Roman" w:hAnsi="Times New Roman" w:cs="Times New Roman"/>
        </w:rPr>
        <w:t>Izvršenje proraču</w:t>
      </w:r>
      <w:r w:rsidR="004B1F94" w:rsidRPr="004B1F94">
        <w:rPr>
          <w:rFonts w:ascii="Times New Roman" w:hAnsi="Times New Roman" w:cs="Times New Roman"/>
        </w:rPr>
        <w:t xml:space="preserve">na za tu mjeru iznosi </w:t>
      </w:r>
      <w:r w:rsidR="00EA302D">
        <w:rPr>
          <w:rFonts w:ascii="Times New Roman" w:hAnsi="Times New Roman" w:cs="Times New Roman"/>
        </w:rPr>
        <w:t>862.151,54</w:t>
      </w:r>
      <w:r w:rsidRPr="004B1F94">
        <w:rPr>
          <w:rFonts w:ascii="Times New Roman" w:hAnsi="Times New Roman" w:cs="Times New Roman"/>
        </w:rPr>
        <w:t xml:space="preserve"> €. </w:t>
      </w:r>
      <w:r w:rsidRPr="00D824EB">
        <w:rPr>
          <w:rFonts w:ascii="Times New Roman" w:hAnsi="Times New Roman" w:cs="Times New Roman"/>
        </w:rPr>
        <w:t xml:space="preserve">Druga mjera je </w:t>
      </w:r>
      <w:r w:rsidRPr="00E67AB2">
        <w:rPr>
          <w:rFonts w:ascii="Times New Roman" w:hAnsi="Times New Roman" w:cs="Times New Roman"/>
          <w:i/>
        </w:rPr>
        <w:t>M 2.8.2. Upravljanje regionalnim razvojem u skladu sa strateškim usmjerenjem Međimurske županije.</w:t>
      </w:r>
      <w:r w:rsidR="0033304B">
        <w:rPr>
          <w:rFonts w:ascii="Times New Roman" w:hAnsi="Times New Roman" w:cs="Times New Roman"/>
          <w:i/>
        </w:rPr>
        <w:t xml:space="preserve"> </w:t>
      </w:r>
      <w:r w:rsidR="0033304B">
        <w:rPr>
          <w:rFonts w:ascii="Times New Roman" w:hAnsi="Times New Roman" w:cs="Times New Roman"/>
        </w:rPr>
        <w:t xml:space="preserve">Ova se mjera odnosi na subvencioniranje </w:t>
      </w:r>
      <w:r w:rsidR="00D24928">
        <w:rPr>
          <w:rFonts w:ascii="Times New Roman" w:hAnsi="Times New Roman" w:cs="Times New Roman"/>
        </w:rPr>
        <w:t>kupnje i gradnje kuća, kao i uklanjanje i adaptacij</w:t>
      </w:r>
      <w:r w:rsidR="00AF6D22">
        <w:rPr>
          <w:rFonts w:ascii="Times New Roman" w:hAnsi="Times New Roman" w:cs="Times New Roman"/>
        </w:rPr>
        <w:t>u</w:t>
      </w:r>
      <w:r w:rsidR="00D24928">
        <w:rPr>
          <w:rFonts w:ascii="Times New Roman" w:hAnsi="Times New Roman" w:cs="Times New Roman"/>
        </w:rPr>
        <w:t xml:space="preserve"> starih kuća. </w:t>
      </w:r>
      <w:r w:rsidR="00E34735">
        <w:rPr>
          <w:rFonts w:ascii="Times New Roman" w:hAnsi="Times New Roman" w:cs="Times New Roman"/>
        </w:rPr>
        <w:t xml:space="preserve">Grad Mursko Središće početkom promatrane godine raspisao je Javni poziv za </w:t>
      </w:r>
      <w:r w:rsidR="00FF3CC8" w:rsidRPr="00FF3CC8">
        <w:rPr>
          <w:rFonts w:ascii="Times New Roman" w:hAnsi="Times New Roman" w:cs="Times New Roman"/>
        </w:rPr>
        <w:t>kupnju ili gradnju nekretnina za stanovanje na području grada Mursko Središće</w:t>
      </w:r>
      <w:r w:rsidR="00EA302D">
        <w:rPr>
          <w:rFonts w:ascii="Times New Roman" w:hAnsi="Times New Roman" w:cs="Times New Roman"/>
        </w:rPr>
        <w:t xml:space="preserve"> i </w:t>
      </w:r>
      <w:r w:rsidR="00EA302D" w:rsidRPr="00EA302D">
        <w:rPr>
          <w:rFonts w:ascii="Times New Roman" w:hAnsi="Times New Roman" w:cs="Times New Roman"/>
        </w:rPr>
        <w:t>Javni poziv za dodjelu  poticaja za uređenje nekretnina na području Grada Mursko Središće</w:t>
      </w:r>
      <w:r w:rsidR="00FF3CC8">
        <w:rPr>
          <w:rFonts w:ascii="Times New Roman" w:hAnsi="Times New Roman" w:cs="Times New Roman"/>
        </w:rPr>
        <w:t xml:space="preserve">, a dodijeljeno je ukupno </w:t>
      </w:r>
      <w:r w:rsidR="00EA302D">
        <w:rPr>
          <w:rFonts w:ascii="Times New Roman" w:hAnsi="Times New Roman" w:cs="Times New Roman"/>
        </w:rPr>
        <w:t>15</w:t>
      </w:r>
      <w:r w:rsidR="00FF3CC8">
        <w:rPr>
          <w:rFonts w:ascii="Times New Roman" w:hAnsi="Times New Roman" w:cs="Times New Roman"/>
        </w:rPr>
        <w:t xml:space="preserve"> poticaja. </w:t>
      </w:r>
      <w:r w:rsidR="002A3951">
        <w:rPr>
          <w:rFonts w:ascii="Times New Roman" w:hAnsi="Times New Roman" w:cs="Times New Roman"/>
        </w:rPr>
        <w:t xml:space="preserve">Izvršenje proračuna za ovu mjeru iznosi </w:t>
      </w:r>
      <w:r w:rsidR="00EA302D">
        <w:rPr>
          <w:rFonts w:ascii="Times New Roman" w:hAnsi="Times New Roman" w:cs="Times New Roman"/>
        </w:rPr>
        <w:t>42.560,00</w:t>
      </w:r>
      <w:r w:rsidR="00060F2C">
        <w:rPr>
          <w:rFonts w:ascii="Times New Roman" w:hAnsi="Times New Roman" w:cs="Times New Roman"/>
        </w:rPr>
        <w:t xml:space="preserve"> €.</w:t>
      </w:r>
    </w:p>
    <w:p w14:paraId="1B345C45" w14:textId="77777777" w:rsidR="00C42468" w:rsidRDefault="00C42468" w:rsidP="00C42468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10" w:name="_Toc189816075"/>
      <w:r w:rsidRPr="00C42468">
        <w:rPr>
          <w:rFonts w:ascii="Times New Roman" w:hAnsi="Times New Roman" w:cs="Times New Roman"/>
          <w:b/>
          <w:color w:val="auto"/>
          <w:sz w:val="25"/>
          <w:szCs w:val="25"/>
        </w:rPr>
        <w:t>PC 3.9: Održivo korištenje prirode i okoliša</w:t>
      </w:r>
      <w:bookmarkEnd w:id="10"/>
      <w:r w:rsidRPr="00C42468">
        <w:rPr>
          <w:rFonts w:ascii="Times New Roman" w:hAnsi="Times New Roman" w:cs="Times New Roman"/>
          <w:b/>
          <w:color w:val="auto"/>
          <w:sz w:val="25"/>
          <w:szCs w:val="25"/>
        </w:rPr>
        <w:t xml:space="preserve"> </w:t>
      </w:r>
    </w:p>
    <w:p w14:paraId="42C49616" w14:textId="77777777" w:rsidR="00C42468" w:rsidRDefault="00C42468" w:rsidP="00C42468"/>
    <w:p w14:paraId="0ABEADBA" w14:textId="0546590A" w:rsidR="00C42468" w:rsidRPr="00077AA6" w:rsidRDefault="00C42468" w:rsidP="00C42468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C42468">
        <w:rPr>
          <w:rFonts w:ascii="Times New Roman" w:hAnsi="Times New Roman" w:cs="Times New Roman"/>
        </w:rPr>
        <w:t xml:space="preserve">Unutar cilja </w:t>
      </w:r>
      <w:r w:rsidRPr="00077AA6">
        <w:rPr>
          <w:rFonts w:ascii="Times New Roman" w:hAnsi="Times New Roman" w:cs="Times New Roman"/>
          <w:i/>
        </w:rPr>
        <w:t>„Održivo korištenje prirode i okoliša“</w:t>
      </w:r>
      <w:r w:rsidRPr="00C42468">
        <w:rPr>
          <w:rFonts w:ascii="Times New Roman" w:hAnsi="Times New Roman" w:cs="Times New Roman"/>
        </w:rPr>
        <w:t xml:space="preserve"> definirana je mjera M</w:t>
      </w:r>
      <w:r w:rsidRPr="00077AA6">
        <w:rPr>
          <w:rFonts w:ascii="Times New Roman" w:hAnsi="Times New Roman" w:cs="Times New Roman"/>
          <w:i/>
        </w:rPr>
        <w:t xml:space="preserve"> 3.9.2. Participativno i prilagodljivo upravljanje prirodom i okolišem</w:t>
      </w:r>
      <w:r w:rsidRPr="00C42468">
        <w:rPr>
          <w:rFonts w:ascii="Times New Roman" w:hAnsi="Times New Roman" w:cs="Times New Roman"/>
        </w:rPr>
        <w:t>. Ovom se mjerom promatra broj provedenih akcija čišćenja grada i prigradskih mjesta, a tijekom 202</w:t>
      </w:r>
      <w:r w:rsidR="00EA302D">
        <w:rPr>
          <w:rFonts w:ascii="Times New Roman" w:hAnsi="Times New Roman" w:cs="Times New Roman"/>
        </w:rPr>
        <w:t>5</w:t>
      </w:r>
      <w:r w:rsidRPr="00C42468">
        <w:rPr>
          <w:rFonts w:ascii="Times New Roman" w:hAnsi="Times New Roman" w:cs="Times New Roman"/>
        </w:rPr>
        <w:t>. godine organizirana je jedna takva akcija.</w:t>
      </w:r>
      <w:r w:rsidR="005C51E3">
        <w:rPr>
          <w:rFonts w:ascii="Times New Roman" w:hAnsi="Times New Roman" w:cs="Times New Roman"/>
        </w:rPr>
        <w:t xml:space="preserve"> </w:t>
      </w:r>
      <w:r w:rsidR="004245DA">
        <w:rPr>
          <w:rFonts w:ascii="Times New Roman" w:hAnsi="Times New Roman" w:cs="Times New Roman"/>
        </w:rPr>
        <w:t>U navedenu mjeru uključeno je i uređenje i održavanje javnih površina grada i prigr</w:t>
      </w:r>
      <w:r w:rsidR="00541C82">
        <w:rPr>
          <w:rFonts w:ascii="Times New Roman" w:hAnsi="Times New Roman" w:cs="Times New Roman"/>
        </w:rPr>
        <w:t>adskih mjesta te</w:t>
      </w:r>
      <w:r w:rsidR="004245DA">
        <w:rPr>
          <w:rFonts w:ascii="Times New Roman" w:hAnsi="Times New Roman" w:cs="Times New Roman"/>
        </w:rPr>
        <w:t xml:space="preserve"> </w:t>
      </w:r>
      <w:r w:rsidR="00541C82">
        <w:rPr>
          <w:rFonts w:ascii="Times New Roman" w:hAnsi="Times New Roman" w:cs="Times New Roman"/>
        </w:rPr>
        <w:t xml:space="preserve">održavanje mjesnog groblja. </w:t>
      </w:r>
      <w:r w:rsidRPr="00C42468">
        <w:rPr>
          <w:rFonts w:ascii="Times New Roman" w:hAnsi="Times New Roman" w:cs="Times New Roman"/>
        </w:rPr>
        <w:t xml:space="preserve"> </w:t>
      </w:r>
      <w:r w:rsidRPr="00541C82">
        <w:rPr>
          <w:rFonts w:ascii="Times New Roman" w:hAnsi="Times New Roman" w:cs="Times New Roman"/>
        </w:rPr>
        <w:t xml:space="preserve">Izvršenje proračuna za ovu mjeru iznosi </w:t>
      </w:r>
      <w:r w:rsidR="00EA302D">
        <w:rPr>
          <w:rFonts w:ascii="Times New Roman" w:hAnsi="Times New Roman" w:cs="Times New Roman"/>
        </w:rPr>
        <w:t>5.764,27</w:t>
      </w:r>
      <w:r w:rsidRPr="00541C82">
        <w:rPr>
          <w:rFonts w:ascii="Times New Roman" w:hAnsi="Times New Roman" w:cs="Times New Roman"/>
        </w:rPr>
        <w:t xml:space="preserve"> €.</w:t>
      </w:r>
    </w:p>
    <w:p w14:paraId="501B62FB" w14:textId="77777777" w:rsidR="00417545" w:rsidRPr="00417545" w:rsidRDefault="00417545" w:rsidP="00417545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11" w:name="_Toc189816076"/>
      <w:r w:rsidRPr="00417545">
        <w:rPr>
          <w:rFonts w:ascii="Times New Roman" w:hAnsi="Times New Roman" w:cs="Times New Roman"/>
          <w:b/>
          <w:color w:val="auto"/>
          <w:sz w:val="25"/>
          <w:szCs w:val="25"/>
        </w:rPr>
        <w:t>PC 3.11: Razvijena komunalna infrastruktura</w:t>
      </w:r>
      <w:bookmarkEnd w:id="11"/>
    </w:p>
    <w:p w14:paraId="45B109AE" w14:textId="77777777" w:rsidR="00897E14" w:rsidRDefault="00897E14" w:rsidP="004B08D6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3CD3187" w14:textId="0BBC0190" w:rsidR="00417545" w:rsidRPr="00417545" w:rsidRDefault="00417545" w:rsidP="00F73F6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417545">
        <w:rPr>
          <w:rFonts w:ascii="Times New Roman" w:hAnsi="Times New Roman" w:cs="Times New Roman"/>
        </w:rPr>
        <w:t xml:space="preserve">Unutar cilja </w:t>
      </w:r>
      <w:r w:rsidR="002F105D" w:rsidRPr="00EE089D">
        <w:rPr>
          <w:rFonts w:ascii="Times New Roman" w:hAnsi="Times New Roman" w:cs="Times New Roman"/>
          <w:i/>
        </w:rPr>
        <w:t>„Razvijena komunalna infrastruktura“</w:t>
      </w:r>
      <w:r w:rsidR="002F105D">
        <w:rPr>
          <w:rFonts w:ascii="Times New Roman" w:hAnsi="Times New Roman" w:cs="Times New Roman"/>
        </w:rPr>
        <w:t xml:space="preserve"> </w:t>
      </w:r>
      <w:r w:rsidRPr="00417545">
        <w:rPr>
          <w:rFonts w:ascii="Times New Roman" w:hAnsi="Times New Roman" w:cs="Times New Roman"/>
        </w:rPr>
        <w:t xml:space="preserve">određene su dvije mjere. Prva mjera je </w:t>
      </w:r>
      <w:r w:rsidRPr="002F105D">
        <w:rPr>
          <w:rFonts w:ascii="Times New Roman" w:hAnsi="Times New Roman" w:cs="Times New Roman"/>
          <w:i/>
        </w:rPr>
        <w:t>M 3.11.1. Povećanje učinkovitosti sustava gospodarenja otpadom</w:t>
      </w:r>
      <w:r w:rsidR="005370D9">
        <w:rPr>
          <w:rFonts w:ascii="Times New Roman" w:hAnsi="Times New Roman" w:cs="Times New Roman"/>
        </w:rPr>
        <w:t xml:space="preserve">. U okviru ove mjere definirana su dva pokazatelja – </w:t>
      </w:r>
      <w:r w:rsidR="005370D9" w:rsidRPr="00E83C91">
        <w:rPr>
          <w:rFonts w:ascii="Times New Roman" w:hAnsi="Times New Roman" w:cs="Times New Roman"/>
          <w:i/>
        </w:rPr>
        <w:t>Rekonstruirana vodovodna mreža (u km)</w:t>
      </w:r>
      <w:r w:rsidR="005370D9">
        <w:rPr>
          <w:rFonts w:ascii="Times New Roman" w:hAnsi="Times New Roman" w:cs="Times New Roman"/>
        </w:rPr>
        <w:t xml:space="preserve"> i </w:t>
      </w:r>
      <w:r w:rsidR="005370D9" w:rsidRPr="00E83C91">
        <w:rPr>
          <w:rFonts w:ascii="Times New Roman" w:hAnsi="Times New Roman" w:cs="Times New Roman"/>
          <w:i/>
        </w:rPr>
        <w:t>Količina prikupljenog recikliranog otpada (u t)</w:t>
      </w:r>
      <w:r w:rsidR="005370D9">
        <w:rPr>
          <w:rFonts w:ascii="Times New Roman" w:hAnsi="Times New Roman" w:cs="Times New Roman"/>
        </w:rPr>
        <w:t>. Tijekom 202</w:t>
      </w:r>
      <w:r w:rsidR="00EA302D">
        <w:rPr>
          <w:rFonts w:ascii="Times New Roman" w:hAnsi="Times New Roman" w:cs="Times New Roman"/>
        </w:rPr>
        <w:t>5</w:t>
      </w:r>
      <w:r w:rsidR="005370D9">
        <w:rPr>
          <w:rFonts w:ascii="Times New Roman" w:hAnsi="Times New Roman" w:cs="Times New Roman"/>
        </w:rPr>
        <w:t xml:space="preserve">. godine rekonstruirano je ukupno </w:t>
      </w:r>
      <w:r w:rsidR="00EA302D">
        <w:rPr>
          <w:rFonts w:ascii="Times New Roman" w:hAnsi="Times New Roman" w:cs="Times New Roman"/>
        </w:rPr>
        <w:t>1,1</w:t>
      </w:r>
      <w:r w:rsidR="005370D9">
        <w:rPr>
          <w:rFonts w:ascii="Times New Roman" w:hAnsi="Times New Roman" w:cs="Times New Roman"/>
        </w:rPr>
        <w:t xml:space="preserve"> km vodovodne mreže na </w:t>
      </w:r>
      <w:r w:rsidR="00F73F65">
        <w:rPr>
          <w:rFonts w:ascii="Times New Roman" w:hAnsi="Times New Roman" w:cs="Times New Roman"/>
        </w:rPr>
        <w:t>području Grada Mursko Središće, a količina prikupljenog recikliranog otpada iznosila je 1</w:t>
      </w:r>
      <w:r w:rsidR="00EA302D">
        <w:rPr>
          <w:rFonts w:ascii="Times New Roman" w:hAnsi="Times New Roman" w:cs="Times New Roman"/>
        </w:rPr>
        <w:t>21</w:t>
      </w:r>
      <w:r w:rsidR="00F73F65">
        <w:rPr>
          <w:rFonts w:ascii="Times New Roman" w:hAnsi="Times New Roman" w:cs="Times New Roman"/>
        </w:rPr>
        <w:t xml:space="preserve">0 t. </w:t>
      </w:r>
      <w:r w:rsidRPr="001F3B9C">
        <w:rPr>
          <w:rFonts w:ascii="Times New Roman" w:hAnsi="Times New Roman" w:cs="Times New Roman"/>
        </w:rPr>
        <w:t xml:space="preserve">Izvršenje proračuna za ovu mjeru iznosi </w:t>
      </w:r>
      <w:r w:rsidR="00EA302D">
        <w:rPr>
          <w:rFonts w:ascii="Times New Roman" w:hAnsi="Times New Roman" w:cs="Times New Roman"/>
        </w:rPr>
        <w:t>4.688,43</w:t>
      </w:r>
      <w:r w:rsidRPr="001F3B9C">
        <w:rPr>
          <w:rFonts w:ascii="Times New Roman" w:hAnsi="Times New Roman" w:cs="Times New Roman"/>
        </w:rPr>
        <w:t xml:space="preserve"> €. </w:t>
      </w:r>
    </w:p>
    <w:p w14:paraId="61F1CF4C" w14:textId="236F342C" w:rsidR="00417545" w:rsidRDefault="005D5929" w:rsidP="004175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Druga mjera je </w:t>
      </w:r>
      <w:r w:rsidRPr="005D5929">
        <w:rPr>
          <w:rFonts w:ascii="Times New Roman" w:hAnsi="Times New Roman" w:cs="Times New Roman"/>
          <w:i/>
        </w:rPr>
        <w:t>M 3.11.2. zaštita vodenih resursa te nadogradnja sustava vodoopskrbe i odvodnje.</w:t>
      </w:r>
      <w:r>
        <w:rPr>
          <w:rFonts w:ascii="Times New Roman" w:hAnsi="Times New Roman" w:cs="Times New Roman"/>
        </w:rPr>
        <w:t xml:space="preserve"> Unutar navedene mjere promatra se </w:t>
      </w:r>
      <w:r w:rsidRPr="005D5929">
        <w:rPr>
          <w:rFonts w:ascii="Times New Roman" w:hAnsi="Times New Roman" w:cs="Times New Roman"/>
          <w:i/>
        </w:rPr>
        <w:t>Broj novih korisnika priključenih na vodovodnu mrežu</w:t>
      </w:r>
      <w:r>
        <w:rPr>
          <w:rFonts w:ascii="Times New Roman" w:hAnsi="Times New Roman" w:cs="Times New Roman"/>
        </w:rPr>
        <w:t xml:space="preserve"> koji je u 202</w:t>
      </w:r>
      <w:r w:rsidR="00EA302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 bio </w:t>
      </w:r>
      <w:r w:rsidR="007A47B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Također, promatra se i </w:t>
      </w:r>
      <w:r w:rsidR="00223F6D" w:rsidRPr="00223F6D">
        <w:rPr>
          <w:rFonts w:ascii="Times New Roman" w:hAnsi="Times New Roman" w:cs="Times New Roman"/>
          <w:i/>
        </w:rPr>
        <w:t>B</w:t>
      </w:r>
      <w:r w:rsidRPr="00223F6D">
        <w:rPr>
          <w:rFonts w:ascii="Times New Roman" w:hAnsi="Times New Roman" w:cs="Times New Roman"/>
          <w:i/>
        </w:rPr>
        <w:t>roj novih korisnika priključenih na kanalizacijsku odvodnju</w:t>
      </w:r>
      <w:r>
        <w:rPr>
          <w:rFonts w:ascii="Times New Roman" w:hAnsi="Times New Roman" w:cs="Times New Roman"/>
        </w:rPr>
        <w:t xml:space="preserve"> te je u 202</w:t>
      </w:r>
      <w:r w:rsidR="007A4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godini ukupno priključeno </w:t>
      </w:r>
      <w:r w:rsidR="007A47B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novih korisnika. </w:t>
      </w:r>
      <w:r w:rsidR="00417545" w:rsidRPr="00223F6D">
        <w:rPr>
          <w:rFonts w:ascii="Times New Roman" w:hAnsi="Times New Roman" w:cs="Times New Roman"/>
        </w:rPr>
        <w:t xml:space="preserve">Izvršenje proračuna za ovu mjeru iznosi </w:t>
      </w:r>
      <w:r w:rsidR="007A47BC">
        <w:rPr>
          <w:rFonts w:ascii="Times New Roman" w:hAnsi="Times New Roman" w:cs="Times New Roman"/>
        </w:rPr>
        <w:t>20.566,55</w:t>
      </w:r>
      <w:r w:rsidR="00417545" w:rsidRPr="00223F6D">
        <w:rPr>
          <w:rFonts w:ascii="Times New Roman" w:hAnsi="Times New Roman" w:cs="Times New Roman"/>
        </w:rPr>
        <w:t xml:space="preserve"> €.  </w:t>
      </w:r>
    </w:p>
    <w:p w14:paraId="0B2F3768" w14:textId="77777777" w:rsidR="007A47BC" w:rsidRDefault="007A47BC" w:rsidP="004175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419E710" w14:textId="77777777" w:rsidR="007A47BC" w:rsidRDefault="007A47BC" w:rsidP="00417545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4AA8CD9" w14:textId="77777777" w:rsidR="00EE089D" w:rsidRPr="00EE089D" w:rsidRDefault="00EE089D" w:rsidP="00EE089D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12" w:name="_Toc189816077"/>
      <w:r w:rsidRPr="00EE089D">
        <w:rPr>
          <w:rFonts w:ascii="Times New Roman" w:hAnsi="Times New Roman" w:cs="Times New Roman"/>
          <w:b/>
          <w:color w:val="auto"/>
          <w:sz w:val="25"/>
          <w:szCs w:val="25"/>
        </w:rPr>
        <w:lastRenderedPageBreak/>
        <w:t>PC 3.12: Suvremena prometna infrastruktura</w:t>
      </w:r>
      <w:bookmarkEnd w:id="12"/>
    </w:p>
    <w:p w14:paraId="6DEA2C6F" w14:textId="77777777" w:rsidR="00EE089D" w:rsidRDefault="00EE089D" w:rsidP="00EE089D"/>
    <w:p w14:paraId="4BB782BA" w14:textId="68318883" w:rsidR="00A252D4" w:rsidRDefault="00EE089D" w:rsidP="00173A4B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Cilj </w:t>
      </w:r>
      <w:r w:rsidRPr="00BC67D3">
        <w:rPr>
          <w:rFonts w:ascii="Times New Roman" w:hAnsi="Times New Roman" w:cs="Times New Roman"/>
          <w:i/>
        </w:rPr>
        <w:t>„Suvremena prometna infrastruktura“</w:t>
      </w:r>
      <w:r>
        <w:rPr>
          <w:rFonts w:ascii="Times New Roman" w:hAnsi="Times New Roman" w:cs="Times New Roman"/>
        </w:rPr>
        <w:t xml:space="preserve"> sastoji se od mjere </w:t>
      </w:r>
      <w:r w:rsidRPr="00BC67D3">
        <w:rPr>
          <w:rFonts w:ascii="Times New Roman" w:hAnsi="Times New Roman" w:cs="Times New Roman"/>
          <w:i/>
        </w:rPr>
        <w:t>M 3.12.1. Unaprjeđenje prometne infrastrukture</w:t>
      </w:r>
      <w:r>
        <w:rPr>
          <w:rFonts w:ascii="Times New Roman" w:hAnsi="Times New Roman" w:cs="Times New Roman"/>
        </w:rPr>
        <w:t xml:space="preserve">. Unutar navedene mjere definirana su tri pokazatelja – </w:t>
      </w:r>
      <w:r w:rsidRPr="00BC67D3">
        <w:rPr>
          <w:rFonts w:ascii="Times New Roman" w:hAnsi="Times New Roman" w:cs="Times New Roman"/>
          <w:i/>
        </w:rPr>
        <w:t xml:space="preserve">Izgrađene nove javne prometnice (u km), Izgrađene pješačke staze (u km) </w:t>
      </w:r>
      <w:r>
        <w:rPr>
          <w:rFonts w:ascii="Times New Roman" w:hAnsi="Times New Roman" w:cs="Times New Roman"/>
        </w:rPr>
        <w:t xml:space="preserve">i </w:t>
      </w:r>
      <w:r w:rsidRPr="00BC67D3">
        <w:rPr>
          <w:rFonts w:ascii="Times New Roman" w:hAnsi="Times New Roman" w:cs="Times New Roman"/>
          <w:i/>
        </w:rPr>
        <w:t>Broj novih korisnika priključenih na kanalizacijsku mrežu.</w:t>
      </w:r>
      <w:r>
        <w:rPr>
          <w:rFonts w:ascii="Times New Roman" w:hAnsi="Times New Roman" w:cs="Times New Roman"/>
        </w:rPr>
        <w:t xml:space="preserve"> </w:t>
      </w:r>
      <w:r w:rsidR="009969E2">
        <w:rPr>
          <w:rFonts w:ascii="Times New Roman" w:hAnsi="Times New Roman" w:cs="Times New Roman"/>
        </w:rPr>
        <w:t>Tijekom 202</w:t>
      </w:r>
      <w:r w:rsidR="007A47BC">
        <w:rPr>
          <w:rFonts w:ascii="Times New Roman" w:hAnsi="Times New Roman" w:cs="Times New Roman"/>
        </w:rPr>
        <w:t>5</w:t>
      </w:r>
      <w:r w:rsidR="009969E2">
        <w:rPr>
          <w:rFonts w:ascii="Times New Roman" w:hAnsi="Times New Roman" w:cs="Times New Roman"/>
        </w:rPr>
        <w:t xml:space="preserve">. godine nije bilo izgradnje novih javnih prometnica. Izgrađeno je </w:t>
      </w:r>
      <w:r w:rsidR="008C11EC">
        <w:rPr>
          <w:rFonts w:ascii="Times New Roman" w:hAnsi="Times New Roman" w:cs="Times New Roman"/>
        </w:rPr>
        <w:t xml:space="preserve">ukupno </w:t>
      </w:r>
      <w:r w:rsidR="009969E2">
        <w:rPr>
          <w:rFonts w:ascii="Times New Roman" w:hAnsi="Times New Roman" w:cs="Times New Roman"/>
        </w:rPr>
        <w:t>1,</w:t>
      </w:r>
      <w:r w:rsidR="007A47BC">
        <w:rPr>
          <w:rFonts w:ascii="Times New Roman" w:hAnsi="Times New Roman" w:cs="Times New Roman"/>
        </w:rPr>
        <w:t>1</w:t>
      </w:r>
      <w:r w:rsidR="009969E2">
        <w:rPr>
          <w:rFonts w:ascii="Times New Roman" w:hAnsi="Times New Roman" w:cs="Times New Roman"/>
        </w:rPr>
        <w:t xml:space="preserve"> km </w:t>
      </w:r>
      <w:r w:rsidR="008C11EC">
        <w:rPr>
          <w:rFonts w:ascii="Times New Roman" w:hAnsi="Times New Roman" w:cs="Times New Roman"/>
        </w:rPr>
        <w:t xml:space="preserve">pješačkih staza. </w:t>
      </w:r>
      <w:r w:rsidR="00BD1ACB">
        <w:rPr>
          <w:rFonts w:ascii="Times New Roman" w:hAnsi="Times New Roman" w:cs="Times New Roman"/>
        </w:rPr>
        <w:t>Broj novih korisnika priključenih na kanalizacijsku mrežu u 202</w:t>
      </w:r>
      <w:r w:rsidR="007A47BC">
        <w:rPr>
          <w:rFonts w:ascii="Times New Roman" w:hAnsi="Times New Roman" w:cs="Times New Roman"/>
        </w:rPr>
        <w:t>5</w:t>
      </w:r>
      <w:r w:rsidR="00BD1ACB">
        <w:rPr>
          <w:rFonts w:ascii="Times New Roman" w:hAnsi="Times New Roman" w:cs="Times New Roman"/>
        </w:rPr>
        <w:t xml:space="preserve">. godini bio je </w:t>
      </w:r>
      <w:r w:rsidR="007A47BC">
        <w:rPr>
          <w:rFonts w:ascii="Times New Roman" w:hAnsi="Times New Roman" w:cs="Times New Roman"/>
        </w:rPr>
        <w:t>32</w:t>
      </w:r>
      <w:r w:rsidR="00BD1ACB">
        <w:rPr>
          <w:rFonts w:ascii="Times New Roman" w:hAnsi="Times New Roman" w:cs="Times New Roman"/>
        </w:rPr>
        <w:t xml:space="preserve">. </w:t>
      </w:r>
      <w:r w:rsidRPr="00BC67D3">
        <w:rPr>
          <w:rFonts w:ascii="Times New Roman" w:hAnsi="Times New Roman" w:cs="Times New Roman"/>
        </w:rPr>
        <w:t xml:space="preserve">Izvršenje proračuna za ovu mjeru iznosi </w:t>
      </w:r>
      <w:r w:rsidR="007A47BC">
        <w:rPr>
          <w:rFonts w:ascii="Times New Roman" w:hAnsi="Times New Roman" w:cs="Times New Roman"/>
        </w:rPr>
        <w:t>4.688,43</w:t>
      </w:r>
      <w:r w:rsidRPr="00BC67D3">
        <w:rPr>
          <w:rFonts w:ascii="Times New Roman" w:hAnsi="Times New Roman" w:cs="Times New Roman"/>
        </w:rPr>
        <w:t xml:space="preserve"> €.  </w:t>
      </w:r>
    </w:p>
    <w:p w14:paraId="5A1F02B2" w14:textId="77777777" w:rsidR="00A252D4" w:rsidRPr="00A252D4" w:rsidRDefault="00A252D4" w:rsidP="00A252D4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5"/>
          <w:szCs w:val="25"/>
        </w:rPr>
      </w:pPr>
      <w:bookmarkStart w:id="13" w:name="_Toc189816078"/>
      <w:r w:rsidRPr="00A252D4">
        <w:rPr>
          <w:rFonts w:ascii="Times New Roman" w:hAnsi="Times New Roman" w:cs="Times New Roman"/>
          <w:b/>
          <w:color w:val="auto"/>
          <w:sz w:val="25"/>
          <w:szCs w:val="25"/>
        </w:rPr>
        <w:t>PC 3.13: Visoka kvaliteta urbanog i ruralnog prostora</w:t>
      </w:r>
      <w:bookmarkEnd w:id="13"/>
    </w:p>
    <w:p w14:paraId="72B73A6E" w14:textId="77777777" w:rsidR="00A252D4" w:rsidRDefault="00A252D4" w:rsidP="00A252D4"/>
    <w:p w14:paraId="7A499102" w14:textId="0CE97682" w:rsidR="00A252D4" w:rsidRDefault="00A252D4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252D4">
        <w:rPr>
          <w:rFonts w:ascii="Times New Roman" w:hAnsi="Times New Roman" w:cs="Times New Roman"/>
        </w:rPr>
        <w:t xml:space="preserve">Cilj </w:t>
      </w:r>
      <w:r w:rsidRPr="00647AC2">
        <w:rPr>
          <w:rFonts w:ascii="Times New Roman" w:hAnsi="Times New Roman" w:cs="Times New Roman"/>
          <w:i/>
        </w:rPr>
        <w:t>„Visoka kvaliteta urbanog i ruralnog prostora“</w:t>
      </w:r>
      <w:r w:rsidRPr="00A252D4">
        <w:rPr>
          <w:rFonts w:ascii="Times New Roman" w:hAnsi="Times New Roman" w:cs="Times New Roman"/>
        </w:rPr>
        <w:t xml:space="preserve"> sastoji se od mjere </w:t>
      </w:r>
      <w:r w:rsidRPr="00647AC2">
        <w:rPr>
          <w:rFonts w:ascii="Times New Roman" w:hAnsi="Times New Roman" w:cs="Times New Roman"/>
          <w:i/>
        </w:rPr>
        <w:t>M 3.13.1 Razvoj pametnih i održivih sela i gradova</w:t>
      </w:r>
      <w:r>
        <w:rPr>
          <w:rFonts w:ascii="Times New Roman" w:hAnsi="Times New Roman" w:cs="Times New Roman"/>
        </w:rPr>
        <w:t xml:space="preserve">, a unutar koje je definiran pokazatelj </w:t>
      </w:r>
      <w:r w:rsidRPr="00647AC2">
        <w:rPr>
          <w:rFonts w:ascii="Times New Roman" w:hAnsi="Times New Roman" w:cs="Times New Roman"/>
          <w:i/>
        </w:rPr>
        <w:t>Održavane javne površine (u m2)</w:t>
      </w:r>
      <w:r>
        <w:rPr>
          <w:rFonts w:ascii="Times New Roman" w:hAnsi="Times New Roman" w:cs="Times New Roman"/>
        </w:rPr>
        <w:t>. Tijekom 202</w:t>
      </w:r>
      <w:r w:rsidR="007A4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 ukupno je održavano 22</w:t>
      </w:r>
      <w:r w:rsidR="00647AC2">
        <w:rPr>
          <w:rFonts w:ascii="Times New Roman" w:hAnsi="Times New Roman" w:cs="Times New Roman"/>
        </w:rPr>
        <w:t>.</w:t>
      </w:r>
      <w:r w:rsidR="007A47B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00 m2 javne površine. Za potrebe izvršenja ove mjere utrošeno je </w:t>
      </w:r>
      <w:r w:rsidR="00647AC2" w:rsidRPr="00647AC2">
        <w:rPr>
          <w:rFonts w:ascii="Times New Roman" w:hAnsi="Times New Roman" w:cs="Times New Roman"/>
        </w:rPr>
        <w:t xml:space="preserve">ukupno </w:t>
      </w:r>
      <w:r w:rsidR="007A47BC">
        <w:rPr>
          <w:rFonts w:ascii="Times New Roman" w:hAnsi="Times New Roman" w:cs="Times New Roman"/>
        </w:rPr>
        <w:t>286.700,52</w:t>
      </w:r>
      <w:r w:rsidR="00647AC2" w:rsidRPr="00647AC2">
        <w:rPr>
          <w:rFonts w:ascii="Times New Roman" w:hAnsi="Times New Roman" w:cs="Times New Roman"/>
        </w:rPr>
        <w:t xml:space="preserve"> </w:t>
      </w:r>
      <w:r w:rsidRPr="00647AC2">
        <w:rPr>
          <w:rFonts w:ascii="Times New Roman" w:hAnsi="Times New Roman" w:cs="Times New Roman"/>
        </w:rPr>
        <w:t xml:space="preserve">€. </w:t>
      </w:r>
    </w:p>
    <w:p w14:paraId="734CEE16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6956C5A4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40E903F6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4649D6F9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19C8E9CC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4BBDFAB2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5247525C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152F6925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56E15C20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1E980D7F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4A4A7AC2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2654321B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0712F02E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7C94DB4A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75ADAA21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2264A4C2" w14:textId="77777777" w:rsidR="005C23DE" w:rsidRDefault="005C23DE" w:rsidP="00A252D4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14:paraId="0A116831" w14:textId="77777777" w:rsidR="005C23DE" w:rsidRPr="005C23DE" w:rsidRDefault="005C23DE" w:rsidP="005C23DE">
      <w:pPr>
        <w:pStyle w:val="Naslov1"/>
        <w:numPr>
          <w:ilvl w:val="0"/>
          <w:numId w:val="1"/>
        </w:numPr>
        <w:rPr>
          <w:rFonts w:ascii="Times New Roman" w:hAnsi="Times New Roman" w:cs="Times New Roman"/>
          <w:b/>
        </w:rPr>
      </w:pPr>
      <w:bookmarkStart w:id="14" w:name="_Toc189816079"/>
      <w:r w:rsidRPr="005C23DE">
        <w:rPr>
          <w:rFonts w:ascii="Times New Roman" w:hAnsi="Times New Roman" w:cs="Times New Roman"/>
          <w:b/>
          <w:color w:val="auto"/>
          <w:sz w:val="28"/>
        </w:rPr>
        <w:lastRenderedPageBreak/>
        <w:t>DOPRINOS OSTVARENJU CILJEVA JAVNIH POLITIKA</w:t>
      </w:r>
      <w:bookmarkEnd w:id="14"/>
      <w:r w:rsidRPr="005C23DE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14:paraId="58D6DEBD" w14:textId="77777777" w:rsidR="00A252D4" w:rsidRDefault="00A252D4" w:rsidP="00A252D4"/>
    <w:p w14:paraId="462BE8AE" w14:textId="4488990A" w:rsidR="005C23DE" w:rsidRP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C23DE">
        <w:rPr>
          <w:rFonts w:ascii="Times New Roman" w:hAnsi="Times New Roman" w:cs="Times New Roman"/>
        </w:rPr>
        <w:t xml:space="preserve">U pregledu stanja u upravnom području te u izvješću o napretku i provedbi mjera za razdoblje od </w:t>
      </w:r>
      <w:r>
        <w:rPr>
          <w:rFonts w:ascii="Times New Roman" w:hAnsi="Times New Roman" w:cs="Times New Roman"/>
        </w:rPr>
        <w:t>1. siječnja do 31. prosinca 202</w:t>
      </w:r>
      <w:r w:rsidR="007A47BC">
        <w:rPr>
          <w:rFonts w:ascii="Times New Roman" w:hAnsi="Times New Roman" w:cs="Times New Roman"/>
        </w:rPr>
        <w:t>5</w:t>
      </w:r>
      <w:r w:rsidRPr="005C23DE">
        <w:rPr>
          <w:rFonts w:ascii="Times New Roman" w:hAnsi="Times New Roman" w:cs="Times New Roman"/>
        </w:rPr>
        <w:t>. godine vidljivo je da Grad Mursko Središće izravno doprinosi provedbi strateških ciljeva Europske Unije kao i Nacionalne razvojne strategije Republike Hrvatske za razdoblje do 2030. godine (Narodne novine broj 13/21) te Plana razvoja Međimurske županije objavljenom na službenim</w:t>
      </w:r>
      <w:r w:rsidR="00BC09DE">
        <w:rPr>
          <w:rFonts w:ascii="Times New Roman" w:hAnsi="Times New Roman" w:cs="Times New Roman"/>
        </w:rPr>
        <w:t xml:space="preserve"> </w:t>
      </w:r>
      <w:r w:rsidRPr="005C23DE">
        <w:rPr>
          <w:rFonts w:ascii="Times New Roman" w:hAnsi="Times New Roman" w:cs="Times New Roman"/>
        </w:rPr>
        <w:t>mrežnim stranicama Međimurske županije.</w:t>
      </w:r>
    </w:p>
    <w:p w14:paraId="1D8A23E5" w14:textId="77777777" w:rsidR="005C23DE" w:rsidRP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C23DE">
        <w:rPr>
          <w:rFonts w:ascii="Times New Roman" w:hAnsi="Times New Roman" w:cs="Times New Roman"/>
        </w:rPr>
        <w:t>Provedba planiranih mjera doprinosi ostvarivanju gospodarskih, socijalnih i demografskih ciljeva te mjera zbrinjavanja i jačanja administrativnih kapaciteta te učinkovit i održiv razvoj Grada.</w:t>
      </w:r>
    </w:p>
    <w:p w14:paraId="578FC302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C23DE">
        <w:rPr>
          <w:rFonts w:ascii="Times New Roman" w:hAnsi="Times New Roman" w:cs="Times New Roman"/>
        </w:rPr>
        <w:t>Sve mjere definirane Provedbenim programom Grada Mursko Središće su u funkciji razvoja gospodarstva i demografske revitalizacije te će doprinijeti razvoju i povećanju kvalitete života i dizanju standarda na području Grada Mursko Središće.</w:t>
      </w:r>
    </w:p>
    <w:p w14:paraId="4139141F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5C5AE6C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BC131D0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DA0C477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B9DE325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31FDB14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82489E5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CCB0B28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477C5C3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1EAA793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22B9529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D0608CE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B8CA88B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6E2AC7F1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7A455485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50C868C7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3687AE0" w14:textId="77777777" w:rsid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4A3EC262" w14:textId="5F4D6ECD" w:rsidR="005C23DE" w:rsidRDefault="005C23DE" w:rsidP="005C23D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Prilog 1: Godišnje izvješće o provedbi Provedbenog programa Grada Mursko Središće za 202</w:t>
      </w:r>
      <w:r w:rsidR="007A47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godinu</w:t>
      </w:r>
    </w:p>
    <w:p w14:paraId="64B40FBA" w14:textId="77777777" w:rsidR="005C23DE" w:rsidRPr="005C23DE" w:rsidRDefault="005C23DE" w:rsidP="005C23D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5C23DE" w:rsidRPr="005C23DE" w:rsidSect="0024199A">
      <w:pgSz w:w="11910" w:h="16830"/>
      <w:pgMar w:top="1320" w:right="1160" w:bottom="1100" w:left="1260" w:header="0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44B9B" w14:textId="77777777" w:rsidR="00EB03C4" w:rsidRDefault="00EB03C4">
      <w:pPr>
        <w:spacing w:after="0" w:line="240" w:lineRule="auto"/>
      </w:pPr>
      <w:r>
        <w:separator/>
      </w:r>
    </w:p>
  </w:endnote>
  <w:endnote w:type="continuationSeparator" w:id="0">
    <w:p w14:paraId="548E96E0" w14:textId="77777777" w:rsidR="00EB03C4" w:rsidRDefault="00EB0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9904" w14:textId="77777777" w:rsidR="00EB03C4" w:rsidRDefault="00EB03C4">
      <w:pPr>
        <w:spacing w:after="0" w:line="240" w:lineRule="auto"/>
      </w:pPr>
      <w:r>
        <w:separator/>
      </w:r>
    </w:p>
  </w:footnote>
  <w:footnote w:type="continuationSeparator" w:id="0">
    <w:p w14:paraId="6B03AC41" w14:textId="77777777" w:rsidR="00EB03C4" w:rsidRDefault="00EB0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0C63"/>
    <w:multiLevelType w:val="hybridMultilevel"/>
    <w:tmpl w:val="C5C80760"/>
    <w:lvl w:ilvl="0" w:tplc="3D1CABF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5"/>
        <w:szCs w:val="2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348B2"/>
    <w:multiLevelType w:val="hybridMultilevel"/>
    <w:tmpl w:val="8904FA4E"/>
    <w:lvl w:ilvl="0" w:tplc="1D3622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5129">
    <w:abstractNumId w:val="1"/>
  </w:num>
  <w:num w:numId="2" w16cid:durableId="1575319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63"/>
    <w:rsid w:val="00014E96"/>
    <w:rsid w:val="00026263"/>
    <w:rsid w:val="00034626"/>
    <w:rsid w:val="00060F2C"/>
    <w:rsid w:val="00077AA6"/>
    <w:rsid w:val="000A151C"/>
    <w:rsid w:val="000B0894"/>
    <w:rsid w:val="000D0BD0"/>
    <w:rsid w:val="00101997"/>
    <w:rsid w:val="00123FF6"/>
    <w:rsid w:val="001243B4"/>
    <w:rsid w:val="001411FA"/>
    <w:rsid w:val="00157F94"/>
    <w:rsid w:val="00173A4B"/>
    <w:rsid w:val="00181EAB"/>
    <w:rsid w:val="001B03CD"/>
    <w:rsid w:val="001D027E"/>
    <w:rsid w:val="001F0BC6"/>
    <w:rsid w:val="001F3B9C"/>
    <w:rsid w:val="00204AD2"/>
    <w:rsid w:val="00220A5F"/>
    <w:rsid w:val="00223F6D"/>
    <w:rsid w:val="0024199A"/>
    <w:rsid w:val="00284B74"/>
    <w:rsid w:val="002A3951"/>
    <w:rsid w:val="002A5558"/>
    <w:rsid w:val="002B06B1"/>
    <w:rsid w:val="002D2D44"/>
    <w:rsid w:val="002F105D"/>
    <w:rsid w:val="002F37B0"/>
    <w:rsid w:val="00307563"/>
    <w:rsid w:val="00316A2D"/>
    <w:rsid w:val="00316A43"/>
    <w:rsid w:val="0032087B"/>
    <w:rsid w:val="00322214"/>
    <w:rsid w:val="003269C8"/>
    <w:rsid w:val="0033304B"/>
    <w:rsid w:val="00334318"/>
    <w:rsid w:val="00347312"/>
    <w:rsid w:val="003E0A33"/>
    <w:rsid w:val="003F656B"/>
    <w:rsid w:val="004101FD"/>
    <w:rsid w:val="0041613C"/>
    <w:rsid w:val="00417545"/>
    <w:rsid w:val="00422EA8"/>
    <w:rsid w:val="004245DA"/>
    <w:rsid w:val="00460D21"/>
    <w:rsid w:val="00463A8F"/>
    <w:rsid w:val="00466B2B"/>
    <w:rsid w:val="0047198B"/>
    <w:rsid w:val="004A78C5"/>
    <w:rsid w:val="004B08D6"/>
    <w:rsid w:val="004B0C1B"/>
    <w:rsid w:val="004B1F94"/>
    <w:rsid w:val="004D0B92"/>
    <w:rsid w:val="005032E7"/>
    <w:rsid w:val="00506D4F"/>
    <w:rsid w:val="00516F36"/>
    <w:rsid w:val="005370D9"/>
    <w:rsid w:val="00541C82"/>
    <w:rsid w:val="00550FEE"/>
    <w:rsid w:val="00584A8F"/>
    <w:rsid w:val="005A64E3"/>
    <w:rsid w:val="005B4B1E"/>
    <w:rsid w:val="005C125B"/>
    <w:rsid w:val="005C23DE"/>
    <w:rsid w:val="005C51E3"/>
    <w:rsid w:val="005D5929"/>
    <w:rsid w:val="00641096"/>
    <w:rsid w:val="00647AC2"/>
    <w:rsid w:val="0065095D"/>
    <w:rsid w:val="006551BD"/>
    <w:rsid w:val="00655DEF"/>
    <w:rsid w:val="00666BC8"/>
    <w:rsid w:val="006843B9"/>
    <w:rsid w:val="006A322F"/>
    <w:rsid w:val="006B43F0"/>
    <w:rsid w:val="007020E8"/>
    <w:rsid w:val="00745C94"/>
    <w:rsid w:val="007605C2"/>
    <w:rsid w:val="00761C67"/>
    <w:rsid w:val="007801FB"/>
    <w:rsid w:val="00796F89"/>
    <w:rsid w:val="007A47BC"/>
    <w:rsid w:val="007C7B0F"/>
    <w:rsid w:val="007D2B61"/>
    <w:rsid w:val="00824998"/>
    <w:rsid w:val="008421FC"/>
    <w:rsid w:val="00863173"/>
    <w:rsid w:val="0086530F"/>
    <w:rsid w:val="00865713"/>
    <w:rsid w:val="00877B54"/>
    <w:rsid w:val="00882B72"/>
    <w:rsid w:val="00897E14"/>
    <w:rsid w:val="008B188A"/>
    <w:rsid w:val="008C11EC"/>
    <w:rsid w:val="008E0FB4"/>
    <w:rsid w:val="008E595C"/>
    <w:rsid w:val="00901444"/>
    <w:rsid w:val="00915C18"/>
    <w:rsid w:val="0092640F"/>
    <w:rsid w:val="0094207F"/>
    <w:rsid w:val="0095003E"/>
    <w:rsid w:val="009525B9"/>
    <w:rsid w:val="0097052D"/>
    <w:rsid w:val="009735F8"/>
    <w:rsid w:val="00975488"/>
    <w:rsid w:val="009969E2"/>
    <w:rsid w:val="009A210E"/>
    <w:rsid w:val="009A5A68"/>
    <w:rsid w:val="009A6D31"/>
    <w:rsid w:val="009C51A8"/>
    <w:rsid w:val="00A12F33"/>
    <w:rsid w:val="00A24186"/>
    <w:rsid w:val="00A252D4"/>
    <w:rsid w:val="00A707A6"/>
    <w:rsid w:val="00A9041E"/>
    <w:rsid w:val="00A969DD"/>
    <w:rsid w:val="00AA7A38"/>
    <w:rsid w:val="00AF6D22"/>
    <w:rsid w:val="00B31A12"/>
    <w:rsid w:val="00B53B91"/>
    <w:rsid w:val="00B64CCD"/>
    <w:rsid w:val="00B70171"/>
    <w:rsid w:val="00B75540"/>
    <w:rsid w:val="00B759BA"/>
    <w:rsid w:val="00B9260D"/>
    <w:rsid w:val="00B94676"/>
    <w:rsid w:val="00B96E34"/>
    <w:rsid w:val="00BB20D7"/>
    <w:rsid w:val="00BC09DE"/>
    <w:rsid w:val="00BC67D3"/>
    <w:rsid w:val="00BC78FF"/>
    <w:rsid w:val="00BD1ACB"/>
    <w:rsid w:val="00BD34C8"/>
    <w:rsid w:val="00BF33CC"/>
    <w:rsid w:val="00C01DD8"/>
    <w:rsid w:val="00C1563D"/>
    <w:rsid w:val="00C250B7"/>
    <w:rsid w:val="00C32558"/>
    <w:rsid w:val="00C42468"/>
    <w:rsid w:val="00C432C1"/>
    <w:rsid w:val="00C87DC9"/>
    <w:rsid w:val="00CC54DF"/>
    <w:rsid w:val="00CF298C"/>
    <w:rsid w:val="00D165FC"/>
    <w:rsid w:val="00D24928"/>
    <w:rsid w:val="00D2672F"/>
    <w:rsid w:val="00D61038"/>
    <w:rsid w:val="00D66721"/>
    <w:rsid w:val="00D80B90"/>
    <w:rsid w:val="00D824EB"/>
    <w:rsid w:val="00DA5363"/>
    <w:rsid w:val="00DA6438"/>
    <w:rsid w:val="00DD0338"/>
    <w:rsid w:val="00DD37F2"/>
    <w:rsid w:val="00DD6091"/>
    <w:rsid w:val="00DD6B69"/>
    <w:rsid w:val="00E34735"/>
    <w:rsid w:val="00E67AB2"/>
    <w:rsid w:val="00E827B7"/>
    <w:rsid w:val="00E83C91"/>
    <w:rsid w:val="00EA0006"/>
    <w:rsid w:val="00EA302D"/>
    <w:rsid w:val="00EB03C4"/>
    <w:rsid w:val="00EE089D"/>
    <w:rsid w:val="00EE3A46"/>
    <w:rsid w:val="00EE6E36"/>
    <w:rsid w:val="00EE7764"/>
    <w:rsid w:val="00F27C1D"/>
    <w:rsid w:val="00F30691"/>
    <w:rsid w:val="00F3354F"/>
    <w:rsid w:val="00F445AD"/>
    <w:rsid w:val="00F646CF"/>
    <w:rsid w:val="00F64BF9"/>
    <w:rsid w:val="00F73F65"/>
    <w:rsid w:val="00F85E39"/>
    <w:rsid w:val="00FB174B"/>
    <w:rsid w:val="00FF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391F7"/>
  <w15:chartTrackingRefBased/>
  <w15:docId w15:val="{EB752025-2C12-4946-8F55-4A600921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6F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B0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DA53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5363"/>
    <w:rPr>
      <w:rFonts w:ascii="Times New Roman" w:eastAsia="Times New Roman" w:hAnsi="Times New Roman" w:cs="Times New Roman"/>
      <w:sz w:val="25"/>
      <w:szCs w:val="25"/>
    </w:rPr>
  </w:style>
  <w:style w:type="character" w:customStyle="1" w:styleId="Naslov1Char">
    <w:name w:val="Naslov 1 Char"/>
    <w:basedOn w:val="Zadanifontodlomka"/>
    <w:link w:val="Naslov1"/>
    <w:uiPriority w:val="9"/>
    <w:rsid w:val="00516F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0B08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Naslov">
    <w:name w:val="TOC Heading"/>
    <w:basedOn w:val="Naslov1"/>
    <w:next w:val="Normal"/>
    <w:uiPriority w:val="39"/>
    <w:unhideWhenUsed/>
    <w:qFormat/>
    <w:rsid w:val="00FB174B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B174B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B174B"/>
    <w:pPr>
      <w:spacing w:after="100"/>
      <w:ind w:left="220"/>
    </w:pPr>
  </w:style>
  <w:style w:type="character" w:styleId="Hiperveza">
    <w:name w:val="Hyperlink"/>
    <w:basedOn w:val="Zadanifontodlomka"/>
    <w:uiPriority w:val="99"/>
    <w:unhideWhenUsed/>
    <w:rsid w:val="00FB174B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AF8C-74B3-487D-9948-EFBDCE2D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10</Pages>
  <Words>2455</Words>
  <Characters>13997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Mursko Središće</dc:creator>
  <cp:keywords/>
  <dc:description/>
  <cp:lastModifiedBy>Mateja Novak</cp:lastModifiedBy>
  <cp:revision>4</cp:revision>
  <cp:lastPrinted>2025-02-13T07:52:00Z</cp:lastPrinted>
  <dcterms:created xsi:type="dcterms:W3CDTF">2026-02-10T10:07:00Z</dcterms:created>
  <dcterms:modified xsi:type="dcterms:W3CDTF">2026-02-13T09:11:00Z</dcterms:modified>
</cp:coreProperties>
</file>